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202211-013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珠海汇华公共管廊投资管理有限公司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询价邀请函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</w:t>
      </w:r>
      <w:r>
        <w:rPr>
          <w:rFonts w:hint="eastAsia" w:ascii="仿宋" w:hAnsi="仿宋" w:eastAsia="仿宋" w:cs="仿宋"/>
          <w:sz w:val="24"/>
          <w:szCs w:val="24"/>
        </w:rPr>
        <w:t>邀请函所规定的报价要求，我单位的报价详情如下：</w:t>
      </w:r>
    </w:p>
    <w:tbl>
      <w:tblPr>
        <w:tblStyle w:val="4"/>
        <w:tblW w:w="9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066"/>
        <w:gridCol w:w="1440"/>
        <w:gridCol w:w="3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公共管廊支七隔离网建设项目（第二次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32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ZWRkZDRiODgxNTIxMjFlNjZmNjVjMmJhMmI1YzgifQ=="/>
  </w:docVars>
  <w:rsids>
    <w:rsidRoot w:val="1459397D"/>
    <w:rsid w:val="01134A94"/>
    <w:rsid w:val="0C107ED2"/>
    <w:rsid w:val="121416C1"/>
    <w:rsid w:val="1459397D"/>
    <w:rsid w:val="174A5CCD"/>
    <w:rsid w:val="27007881"/>
    <w:rsid w:val="28105A4D"/>
    <w:rsid w:val="2C204F13"/>
    <w:rsid w:val="2DBF6709"/>
    <w:rsid w:val="33B56674"/>
    <w:rsid w:val="35F31F2B"/>
    <w:rsid w:val="45D63E27"/>
    <w:rsid w:val="58570450"/>
    <w:rsid w:val="5CBC6122"/>
    <w:rsid w:val="5D89105F"/>
    <w:rsid w:val="65745FF5"/>
    <w:rsid w:val="695B3F3A"/>
    <w:rsid w:val="6A1C4897"/>
    <w:rsid w:val="6A3E659C"/>
    <w:rsid w:val="724A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266</Characters>
  <Lines>0</Lines>
  <Paragraphs>0</Paragraphs>
  <TotalTime>6</TotalTime>
  <ScaleCrop>false</ScaleCrop>
  <LinksUpToDate>false</LinksUpToDate>
  <CharactersWithSpaces>341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yhl</cp:lastModifiedBy>
  <dcterms:modified xsi:type="dcterms:W3CDTF">2022-12-16T06:46:04Z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577E4A02FD2E480F9EFFFB575FBF8CC8</vt:lpwstr>
  </property>
</Properties>
</file>