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36"/>
          <w:szCs w:val="36"/>
          <w:highlight w:val="none"/>
        </w:rPr>
      </w:pPr>
      <w:bookmarkStart w:id="2" w:name="_GoBack"/>
      <w:bookmarkEnd w:id="2"/>
    </w:p>
    <w:p>
      <w:pPr>
        <w:jc w:val="center"/>
        <w:rPr>
          <w:rFonts w:hint="eastAsia" w:ascii="方正小标宋简体" w:hAnsi="宋体" w:eastAsia="方正小标宋简体"/>
          <w:sz w:val="44"/>
          <w:szCs w:val="44"/>
          <w:highlight w:val="none"/>
        </w:rPr>
      </w:pPr>
    </w:p>
    <w:p>
      <w:pPr>
        <w:jc w:val="center"/>
        <w:rPr>
          <w:rFonts w:hint="eastAsia" w:ascii="方正小标宋简体" w:hAnsi="方正小标宋简体" w:eastAsia="方正小标宋简体" w:cs="方正小标宋简体"/>
          <w:sz w:val="52"/>
          <w:szCs w:val="52"/>
          <w:highlight w:val="none"/>
          <w:lang w:val="en-US" w:eastAsia="zh-CN"/>
        </w:rPr>
      </w:pPr>
      <w:r>
        <w:rPr>
          <w:rFonts w:hint="eastAsia" w:ascii="方正小标宋简体" w:hAnsi="方正小标宋简体" w:eastAsia="方正小标宋简体" w:cs="方正小标宋简体"/>
          <w:sz w:val="52"/>
          <w:szCs w:val="52"/>
          <w:highlight w:val="none"/>
          <w:lang w:val="en-US" w:eastAsia="zh-CN"/>
        </w:rPr>
        <w:t>汇华水岸4栋家电采购安装服务项目  招标文件</w:t>
      </w:r>
    </w:p>
    <w:p>
      <w:pPr>
        <w:rPr>
          <w:rFonts w:hint="eastAsia" w:ascii="方正小标宋简体" w:hAnsi="宋体" w:eastAsia="方正小标宋简体"/>
          <w:sz w:val="36"/>
          <w:szCs w:val="36"/>
          <w:highlight w:val="none"/>
        </w:rPr>
      </w:pPr>
    </w:p>
    <w:p>
      <w:pPr>
        <w:rPr>
          <w:rFonts w:hint="eastAsia" w:ascii="方正小标宋简体" w:hAnsi="宋体" w:eastAsia="方正小标宋简体"/>
          <w:sz w:val="36"/>
          <w:szCs w:val="36"/>
          <w:highlight w:val="none"/>
        </w:rPr>
      </w:pPr>
    </w:p>
    <w:p>
      <w:pPr>
        <w:rPr>
          <w:rFonts w:hint="eastAsia" w:ascii="方正小标宋简体" w:hAnsi="宋体" w:eastAsia="方正小标宋简体"/>
          <w:sz w:val="36"/>
          <w:szCs w:val="36"/>
          <w:highlight w:val="none"/>
        </w:rPr>
      </w:pPr>
    </w:p>
    <w:p>
      <w:pPr>
        <w:rPr>
          <w:rFonts w:hint="eastAsia" w:ascii="方正小标宋简体" w:hAnsi="宋体" w:eastAsia="方正小标宋简体"/>
          <w:sz w:val="36"/>
          <w:szCs w:val="36"/>
          <w:highlight w:val="none"/>
        </w:rPr>
      </w:pPr>
    </w:p>
    <w:p>
      <w:pPr>
        <w:rPr>
          <w:rFonts w:hint="eastAsia" w:ascii="方正小标宋简体" w:hAnsi="宋体" w:eastAsia="方正小标宋简体"/>
          <w:sz w:val="36"/>
          <w:szCs w:val="36"/>
          <w:highlight w:val="none"/>
        </w:rPr>
      </w:pPr>
    </w:p>
    <w:p>
      <w:pPr>
        <w:pStyle w:val="19"/>
        <w:rPr>
          <w:rFonts w:hint="eastAsia"/>
        </w:rPr>
      </w:pPr>
    </w:p>
    <w:p>
      <w:pPr>
        <w:rPr>
          <w:rFonts w:hint="eastAsia" w:ascii="方正小标宋简体" w:hAnsi="宋体" w:eastAsia="方正小标宋简体"/>
          <w:sz w:val="36"/>
          <w:szCs w:val="36"/>
          <w:highlight w:val="none"/>
        </w:rPr>
      </w:pPr>
    </w:p>
    <w:p>
      <w:pPr>
        <w:pStyle w:val="19"/>
        <w:rPr>
          <w:rFonts w:hint="eastAsia" w:ascii="方正小标宋简体" w:hAnsi="宋体" w:eastAsia="方正小标宋简体"/>
          <w:sz w:val="36"/>
          <w:szCs w:val="36"/>
          <w:highlight w:val="none"/>
        </w:rPr>
      </w:pPr>
    </w:p>
    <w:p>
      <w:pPr>
        <w:rPr>
          <w:rFonts w:hint="eastAsia" w:ascii="方正小标宋简体" w:hAnsi="宋体" w:eastAsia="方正小标宋简体"/>
          <w:sz w:val="36"/>
          <w:szCs w:val="36"/>
          <w:highlight w:val="none"/>
        </w:rPr>
      </w:pPr>
    </w:p>
    <w:p>
      <w:pPr>
        <w:pStyle w:val="19"/>
        <w:rPr>
          <w:rFonts w:hint="eastAsia" w:ascii="方正小标宋简体" w:hAnsi="宋体" w:eastAsia="方正小标宋简体"/>
          <w:sz w:val="36"/>
          <w:szCs w:val="36"/>
          <w:highlight w:val="none"/>
        </w:rPr>
      </w:pPr>
    </w:p>
    <w:p>
      <w:pPr>
        <w:rPr>
          <w:rFonts w:hint="eastAsia" w:ascii="方正小标宋简体" w:hAnsi="宋体" w:eastAsia="方正小标宋简体"/>
          <w:sz w:val="36"/>
          <w:szCs w:val="36"/>
          <w:highlight w:val="none"/>
        </w:rPr>
      </w:pPr>
    </w:p>
    <w:p>
      <w:pPr>
        <w:pStyle w:val="19"/>
        <w:rPr>
          <w:rFonts w:hint="eastAsia"/>
        </w:rPr>
      </w:pPr>
    </w:p>
    <w:p>
      <w:pPr>
        <w:pStyle w:val="20"/>
        <w:rPr>
          <w:rFonts w:hint="eastAsia"/>
        </w:rPr>
      </w:pPr>
    </w:p>
    <w:p>
      <w:pPr>
        <w:pStyle w:val="2"/>
        <w:ind w:left="0" w:leftChars="0" w:firstLine="0" w:firstLineChars="0"/>
        <w:rPr>
          <w:rFonts w:hint="eastAsia"/>
          <w:highlight w:val="none"/>
        </w:rPr>
      </w:pPr>
    </w:p>
    <w:p>
      <w:pPr>
        <w:ind w:left="1959" w:leftChars="266" w:hanging="1400" w:hangingChars="5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val="en-US" w:eastAsia="zh-CN"/>
        </w:rPr>
        <w:t>汇华水岸4栋家电采购安装服务</w:t>
      </w:r>
    </w:p>
    <w:p>
      <w:pPr>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招标人：</w:t>
      </w:r>
      <w:r>
        <w:rPr>
          <w:rFonts w:hint="eastAsia" w:ascii="仿宋" w:hAnsi="仿宋" w:eastAsia="仿宋" w:cs="仿宋"/>
          <w:sz w:val="28"/>
          <w:szCs w:val="28"/>
          <w:highlight w:val="none"/>
          <w:lang w:eastAsia="zh-CN"/>
        </w:rPr>
        <w:t>珠海汇华置地投资有限公司</w:t>
      </w:r>
    </w:p>
    <w:p>
      <w:pPr>
        <w:ind w:firstLine="560" w:firstLineChars="200"/>
        <w:jc w:val="left"/>
        <w:rPr>
          <w:rFonts w:hint="eastAsia" w:eastAsia="仿宋"/>
          <w:sz w:val="28"/>
          <w:szCs w:val="28"/>
          <w:highlight w:val="none"/>
          <w:lang w:eastAsia="zh-CN"/>
        </w:rPr>
        <w:sectPr>
          <w:headerReference r:id="rId3" w:type="default"/>
          <w:footerReference r:id="rId4" w:type="default"/>
          <w:pgSz w:w="11906" w:h="16838"/>
          <w:pgMar w:top="1417" w:right="1304" w:bottom="1134" w:left="1304" w:header="567" w:footer="992" w:gutter="113"/>
          <w:pgBorders>
            <w:top w:val="none" w:sz="0" w:space="0"/>
            <w:left w:val="none" w:sz="0" w:space="0"/>
            <w:bottom w:val="none" w:sz="0" w:space="0"/>
            <w:right w:val="none" w:sz="0" w:space="0"/>
          </w:pgBorders>
          <w:pgNumType w:fmt="decimal"/>
          <w:cols w:space="425" w:num="1"/>
          <w:rtlGutter w:val="0"/>
          <w:docGrid w:type="lines" w:linePitch="312" w:charSpace="0"/>
        </w:sectPr>
      </w:pPr>
      <w:r>
        <w:rPr>
          <w:rFonts w:hint="eastAsia" w:ascii="仿宋" w:hAnsi="仿宋" w:eastAsia="仿宋" w:cs="仿宋"/>
          <w:sz w:val="28"/>
          <w:szCs w:val="28"/>
          <w:highlight w:val="none"/>
          <w:lang w:eastAsia="zh-CN"/>
        </w:rPr>
        <w:t>招标代理</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珠海汇华控股集团有限公司</w:t>
      </w:r>
    </w:p>
    <w:p>
      <w:pPr>
        <w:jc w:val="center"/>
        <w:rPr>
          <w:rFonts w:hint="eastAsia" w:ascii="方正小标宋简体" w:hAnsi="方正小标宋简体" w:eastAsia="方正小标宋简体" w:cs="方正小标宋简体"/>
          <w:sz w:val="52"/>
          <w:szCs w:val="52"/>
          <w:highlight w:val="none"/>
          <w:lang w:val="en-US" w:eastAsia="zh-CN"/>
        </w:rPr>
      </w:pPr>
      <w:r>
        <w:rPr>
          <w:rFonts w:hint="eastAsia" w:ascii="方正小标宋简体" w:hAnsi="方正小标宋简体" w:eastAsia="方正小标宋简体" w:cs="方正小标宋简体"/>
          <w:sz w:val="52"/>
          <w:szCs w:val="52"/>
          <w:highlight w:val="none"/>
          <w:lang w:val="en-US" w:eastAsia="zh-CN"/>
        </w:rPr>
        <w:t>第一部分 投标人须知</w:t>
      </w:r>
    </w:p>
    <w:tbl>
      <w:tblPr>
        <w:tblStyle w:val="21"/>
        <w:tblW w:w="902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28"/>
        <w:gridCol w:w="810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928" w:type="dxa"/>
            <w:tcBorders>
              <w:top w:val="single" w:color="000000" w:sz="12"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条款号</w:t>
            </w:r>
          </w:p>
        </w:tc>
        <w:tc>
          <w:tcPr>
            <w:tcW w:w="8100" w:type="dxa"/>
            <w:tcBorders>
              <w:top w:val="single" w:color="000000" w:sz="12" w:space="0"/>
              <w:left w:val="single" w:color="000000" w:sz="8" w:space="0"/>
              <w:bottom w:val="single" w:color="000000" w:sz="8" w:space="0"/>
              <w:right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内      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highlight w:val="none"/>
              </w:rPr>
            </w:pPr>
            <w:r>
              <w:rPr>
                <w:rFonts w:hint="eastAsia" w:ascii="楷体" w:hAnsi="楷体" w:eastAsia="楷体" w:cs="楷体"/>
                <w:b/>
                <w:bCs/>
                <w:color w:val="auto"/>
                <w:sz w:val="28"/>
                <w:szCs w:val="28"/>
                <w:highlight w:val="none"/>
              </w:rPr>
              <w:t>说明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sz w:val="28"/>
                <w:szCs w:val="28"/>
                <w:highlight w:val="none"/>
                <w:lang w:val="en-US" w:eastAsia="zh-CN"/>
              </w:rPr>
              <w:t>汇华水岸4栋家电采购安装服务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招标人：</w:t>
            </w:r>
            <w:r>
              <w:rPr>
                <w:rFonts w:hint="eastAsia" w:ascii="仿宋" w:hAnsi="仿宋" w:eastAsia="仿宋" w:cs="仿宋"/>
                <w:sz w:val="28"/>
                <w:szCs w:val="28"/>
                <w:highlight w:val="none"/>
                <w:lang w:eastAsia="zh-CN"/>
              </w:rPr>
              <w:t>珠海汇华置地投资有限公司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招标代理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珠海汇华控股集团有限公司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上限报价：</w:t>
            </w:r>
            <w:r>
              <w:rPr>
                <w:rFonts w:hint="eastAsia" w:ascii="仿宋" w:hAnsi="仿宋" w:eastAsia="仿宋" w:cs="仿宋"/>
                <w:color w:val="FF0000"/>
                <w:sz w:val="28"/>
                <w:szCs w:val="28"/>
                <w:highlight w:val="none"/>
                <w:lang w:val="en-US" w:eastAsia="zh-CN"/>
              </w:rPr>
              <w:t>≤151770.19元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其它事项：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1、投标人的投标报价不得超出报价上限，否则作无效投标处理。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color w:val="auto"/>
                <w:highlight w:val="none"/>
              </w:rPr>
            </w:pPr>
            <w:r>
              <w:rPr>
                <w:rFonts w:hint="eastAsia" w:ascii="仿宋" w:hAnsi="仿宋" w:eastAsia="仿宋" w:cs="仿宋"/>
                <w:color w:val="auto"/>
                <w:sz w:val="28"/>
                <w:szCs w:val="28"/>
                <w:highlight w:val="none"/>
                <w:lang w:val="en-US" w:eastAsia="zh-CN"/>
              </w:rPr>
              <w:t>2、投标报价应当包含完成人工、国家法定税等全部费用,以及招标文件应当由中标人承担的风险因素等费用。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highlight w:val="none"/>
              </w:rPr>
            </w:pPr>
            <w:r>
              <w:rPr>
                <w:rFonts w:hint="eastAsia" w:ascii="楷体" w:hAnsi="楷体" w:eastAsia="楷体" w:cs="楷体"/>
                <w:b/>
                <w:bCs/>
                <w:color w:val="auto"/>
                <w:sz w:val="28"/>
                <w:szCs w:val="28"/>
                <w:highlight w:val="none"/>
                <w:lang w:eastAsia="zh-CN"/>
              </w:rPr>
              <w:t>投标</w:t>
            </w:r>
            <w:r>
              <w:rPr>
                <w:rFonts w:hint="eastAsia" w:ascii="楷体" w:hAnsi="楷体" w:eastAsia="楷体" w:cs="楷体"/>
                <w:b/>
                <w:bCs/>
                <w:color w:val="auto"/>
                <w:sz w:val="28"/>
                <w:szCs w:val="28"/>
                <w:highlight w:val="none"/>
              </w:rPr>
              <w:t>文件的编制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2.1</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投标响应文件数量：5份，一正四副密封至一个文件袋内。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color w:val="auto"/>
                <w:highlight w:val="none"/>
                <w:lang w:val="en-US" w:eastAsia="zh-CN"/>
              </w:rPr>
            </w:pPr>
            <w:r>
              <w:rPr>
                <w:rFonts w:hint="eastAsia" w:ascii="仿宋" w:hAnsi="仿宋" w:eastAsia="仿宋" w:cs="仿宋"/>
                <w:b w:val="0"/>
                <w:bCs w:val="0"/>
                <w:color w:val="auto"/>
                <w:sz w:val="28"/>
                <w:szCs w:val="28"/>
                <w:highlight w:val="none"/>
                <w:lang w:val="en-US" w:eastAsia="zh-CN"/>
              </w:rPr>
              <w:t>其它事项：需提供盖章后投标文件扫描件（需光盘刻录或U盘）一份，与投标文件一起密封提交。</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投标文件请按：法定代表人证明书和法定代表人授权委托书、投标承诺书、资格函件、商务标书、技术标书、经济标书顺序合并装订成一册，（投标文件请设置页码及目录）。正本文件每页需加盖公章。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highlight w:val="none"/>
              </w:rPr>
            </w:pPr>
            <w:r>
              <w:rPr>
                <w:rFonts w:hint="eastAsia" w:ascii="楷体" w:hAnsi="楷体" w:eastAsia="楷体" w:cs="楷体"/>
                <w:b/>
                <w:bCs/>
                <w:color w:val="auto"/>
                <w:sz w:val="28"/>
                <w:szCs w:val="28"/>
                <w:highlight w:val="none"/>
                <w:lang w:val="en-US" w:eastAsia="zh-CN"/>
              </w:rPr>
              <w:t>投标</w:t>
            </w:r>
            <w:r>
              <w:rPr>
                <w:rFonts w:hint="eastAsia" w:ascii="楷体" w:hAnsi="楷体" w:eastAsia="楷体" w:cs="楷体"/>
                <w:b/>
                <w:bCs/>
                <w:color w:val="auto"/>
                <w:sz w:val="28"/>
                <w:szCs w:val="28"/>
                <w:highlight w:val="none"/>
              </w:rPr>
              <w:t>文件的递交</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具体投标</w:t>
            </w:r>
            <w:r>
              <w:rPr>
                <w:rFonts w:hint="eastAsia" w:ascii="仿宋" w:hAnsi="仿宋" w:eastAsia="仿宋" w:cs="仿宋"/>
                <w:color w:val="auto"/>
                <w:sz w:val="28"/>
                <w:szCs w:val="28"/>
                <w:highlight w:val="none"/>
              </w:rPr>
              <w:t>时间、地点详见</w:t>
            </w:r>
            <w:r>
              <w:rPr>
                <w:rFonts w:hint="eastAsia" w:ascii="仿宋" w:hAnsi="仿宋" w:eastAsia="仿宋" w:cs="仿宋"/>
                <w:color w:val="auto"/>
                <w:sz w:val="28"/>
                <w:szCs w:val="28"/>
                <w:highlight w:val="none"/>
                <w:lang w:val="en-US" w:eastAsia="zh-CN"/>
              </w:rPr>
              <w:t>第二部分 供应商须知</w:t>
            </w:r>
            <w:r>
              <w:rPr>
                <w:rFonts w:hint="eastAsia" w:ascii="仿宋" w:hAnsi="仿宋" w:eastAsia="仿宋" w:cs="仿宋"/>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auto"/>
                <w:sz w:val="28"/>
                <w:szCs w:val="28"/>
                <w:highlight w:val="none"/>
              </w:rPr>
            </w:pPr>
            <w:r>
              <w:rPr>
                <w:rFonts w:hint="eastAsia" w:ascii="楷体" w:hAnsi="楷体" w:eastAsia="楷体" w:cs="楷体"/>
                <w:b/>
                <w:bCs/>
                <w:color w:val="auto"/>
                <w:sz w:val="28"/>
                <w:szCs w:val="28"/>
                <w:highlight w:val="none"/>
                <w:lang w:val="en-US" w:eastAsia="zh-CN"/>
              </w:rPr>
              <w:t>投标文件</w:t>
            </w:r>
            <w:r>
              <w:rPr>
                <w:rFonts w:hint="eastAsia" w:ascii="楷体" w:hAnsi="楷体" w:eastAsia="楷体" w:cs="楷体"/>
                <w:b/>
                <w:bCs/>
                <w:color w:val="auto"/>
                <w:sz w:val="28"/>
                <w:szCs w:val="28"/>
                <w:highlight w:val="none"/>
              </w:rPr>
              <w:t>评审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本项目的</w:t>
            </w:r>
            <w:r>
              <w:rPr>
                <w:rFonts w:hint="eastAsia" w:ascii="仿宋" w:hAnsi="仿宋" w:eastAsia="仿宋" w:cs="仿宋"/>
                <w:color w:val="auto"/>
                <w:sz w:val="28"/>
                <w:szCs w:val="28"/>
                <w:highlight w:val="none"/>
                <w:lang w:val="en-US" w:eastAsia="zh-CN"/>
              </w:rPr>
              <w:t>开标、评标</w:t>
            </w:r>
            <w:r>
              <w:rPr>
                <w:rFonts w:hint="eastAsia" w:ascii="仿宋" w:hAnsi="仿宋" w:eastAsia="仿宋" w:cs="仿宋"/>
                <w:color w:val="auto"/>
                <w:sz w:val="28"/>
                <w:szCs w:val="28"/>
                <w:highlight w:val="none"/>
              </w:rPr>
              <w:t>由</w:t>
            </w:r>
            <w:r>
              <w:rPr>
                <w:rFonts w:hint="eastAsia" w:ascii="仿宋" w:hAnsi="仿宋" w:eastAsia="仿宋" w:cs="仿宋"/>
                <w:color w:val="auto"/>
                <w:sz w:val="28"/>
                <w:szCs w:val="28"/>
                <w:highlight w:val="none"/>
                <w:lang w:val="en-US" w:eastAsia="zh-CN"/>
              </w:rPr>
              <w:t>招标人</w:t>
            </w:r>
            <w:r>
              <w:rPr>
                <w:rFonts w:hint="eastAsia" w:ascii="仿宋" w:hAnsi="仿宋" w:eastAsia="仿宋" w:cs="仿宋"/>
                <w:color w:val="auto"/>
                <w:sz w:val="28"/>
                <w:szCs w:val="28"/>
                <w:highlight w:val="none"/>
              </w:rPr>
              <w:t>组建的</w:t>
            </w:r>
            <w:r>
              <w:rPr>
                <w:rFonts w:hint="eastAsia" w:ascii="仿宋" w:hAnsi="仿宋" w:eastAsia="仿宋" w:cs="仿宋"/>
                <w:color w:val="auto"/>
                <w:sz w:val="28"/>
                <w:szCs w:val="28"/>
                <w:highlight w:val="none"/>
                <w:lang w:val="en-US" w:eastAsia="zh-CN"/>
              </w:rPr>
              <w:t>评审</w:t>
            </w:r>
            <w:r>
              <w:rPr>
                <w:rFonts w:hint="eastAsia" w:ascii="仿宋" w:hAnsi="仿宋" w:eastAsia="仿宋" w:cs="仿宋"/>
                <w:color w:val="auto"/>
                <w:sz w:val="28"/>
                <w:szCs w:val="28"/>
                <w:highlight w:val="none"/>
              </w:rPr>
              <w:t>小组负责，</w:t>
            </w:r>
            <w:r>
              <w:rPr>
                <w:rFonts w:hint="eastAsia" w:ascii="仿宋" w:hAnsi="仿宋" w:eastAsia="仿宋" w:cs="仿宋"/>
                <w:color w:val="auto"/>
                <w:sz w:val="28"/>
                <w:szCs w:val="28"/>
                <w:highlight w:val="none"/>
                <w:lang w:val="en-US" w:eastAsia="zh-CN"/>
              </w:rPr>
              <w:t>评审</w:t>
            </w:r>
            <w:r>
              <w:rPr>
                <w:rFonts w:hint="eastAsia" w:ascii="仿宋" w:hAnsi="仿宋" w:eastAsia="仿宋" w:cs="仿宋"/>
                <w:color w:val="auto"/>
                <w:sz w:val="28"/>
                <w:szCs w:val="28"/>
                <w:highlight w:val="none"/>
              </w:rPr>
              <w:t>小组人数为</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3630"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在投标文件初审过程中，如发现下列情况之一的，其投标将被视为未实质性响应招标文件而作无效投标处理：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1.投标</w:t>
            </w:r>
            <w:r>
              <w:rPr>
                <w:rFonts w:hint="eastAsia" w:ascii="仿宋" w:hAnsi="仿宋" w:eastAsia="仿宋" w:cs="仿宋"/>
                <w:color w:val="auto"/>
                <w:sz w:val="28"/>
                <w:szCs w:val="28"/>
                <w:highlight w:val="none"/>
              </w:rPr>
              <w:t>文件明示需</w:t>
            </w:r>
            <w:r>
              <w:rPr>
                <w:rFonts w:hint="eastAsia" w:ascii="仿宋" w:hAnsi="仿宋" w:eastAsia="仿宋" w:cs="仿宋"/>
                <w:color w:val="auto"/>
                <w:sz w:val="28"/>
                <w:szCs w:val="28"/>
                <w:highlight w:val="none"/>
                <w:lang w:val="en-US" w:eastAsia="zh-CN"/>
              </w:rPr>
              <w:t>投标单位</w:t>
            </w:r>
            <w:r>
              <w:rPr>
                <w:rFonts w:hint="eastAsia" w:ascii="仿宋" w:hAnsi="仿宋" w:eastAsia="仿宋" w:cs="仿宋"/>
                <w:color w:val="auto"/>
                <w:sz w:val="28"/>
                <w:szCs w:val="28"/>
                <w:highlight w:val="none"/>
              </w:rPr>
              <w:t>代表签字或盖章处未按规定签字或盖章的；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3.投标人</w:t>
            </w:r>
            <w:r>
              <w:rPr>
                <w:rFonts w:hint="eastAsia" w:ascii="仿宋" w:hAnsi="仿宋" w:eastAsia="仿宋" w:cs="仿宋"/>
                <w:color w:val="auto"/>
                <w:sz w:val="28"/>
                <w:szCs w:val="28"/>
                <w:highlight w:val="none"/>
              </w:rPr>
              <w:t>不满足资格要求或资格证明文件不全的；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4.授权</w:t>
            </w:r>
            <w:r>
              <w:rPr>
                <w:rFonts w:hint="eastAsia" w:ascii="仿宋" w:hAnsi="仿宋" w:eastAsia="仿宋" w:cs="仿宋"/>
                <w:color w:val="auto"/>
                <w:sz w:val="28"/>
                <w:szCs w:val="28"/>
                <w:highlight w:val="none"/>
              </w:rPr>
              <w:t>有效期不足的</w:t>
            </w:r>
            <w:r>
              <w:rPr>
                <w:rFonts w:hint="eastAsia" w:ascii="仿宋" w:hAnsi="仿宋" w:eastAsia="仿宋" w:cs="仿宋"/>
                <w:color w:val="auto"/>
                <w:sz w:val="28"/>
                <w:szCs w:val="28"/>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6.投标</w:t>
            </w:r>
            <w:r>
              <w:rPr>
                <w:rFonts w:hint="eastAsia" w:ascii="仿宋" w:hAnsi="仿宋" w:eastAsia="仿宋" w:cs="仿宋"/>
                <w:color w:val="auto"/>
                <w:sz w:val="28"/>
                <w:szCs w:val="28"/>
                <w:highlight w:val="none"/>
              </w:rPr>
              <w:t>响应文件附有</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及招标代理</w:t>
            </w:r>
            <w:r>
              <w:rPr>
                <w:rFonts w:hint="eastAsia" w:ascii="仿宋" w:hAnsi="仿宋" w:eastAsia="仿宋" w:cs="仿宋"/>
                <w:color w:val="auto"/>
                <w:sz w:val="28"/>
                <w:szCs w:val="28"/>
                <w:highlight w:val="none"/>
              </w:rPr>
              <w:t>不能接受的条件</w:t>
            </w:r>
            <w:r>
              <w:rPr>
                <w:rFonts w:hint="eastAsia" w:ascii="仿宋" w:hAnsi="仿宋" w:eastAsia="仿宋" w:cs="仿宋"/>
                <w:color w:val="auto"/>
                <w:sz w:val="28"/>
                <w:szCs w:val="28"/>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7.投标</w:t>
            </w:r>
            <w:r>
              <w:rPr>
                <w:rFonts w:hint="eastAsia" w:ascii="仿宋" w:hAnsi="仿宋" w:eastAsia="仿宋" w:cs="仿宋"/>
                <w:color w:val="auto"/>
                <w:sz w:val="28"/>
                <w:szCs w:val="28"/>
                <w:highlight w:val="none"/>
              </w:rPr>
              <w:t>响应文件未按</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文件规定格式填写且字迹模糊不清</w:t>
            </w:r>
            <w:r>
              <w:rPr>
                <w:rFonts w:hint="eastAsia" w:ascii="仿宋" w:hAnsi="仿宋" w:eastAsia="仿宋" w:cs="仿宋"/>
                <w:color w:val="auto"/>
                <w:sz w:val="28"/>
                <w:szCs w:val="28"/>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法律、法规和</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rPr>
              <w:t>文件规定的其他无效响应条款。</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评审办法：本项目采用</w:t>
            </w:r>
            <w:r>
              <w:rPr>
                <w:rFonts w:hint="eastAsia" w:ascii="仿宋" w:hAnsi="仿宋" w:eastAsia="仿宋" w:cs="仿宋"/>
                <w:color w:val="auto"/>
                <w:sz w:val="28"/>
                <w:szCs w:val="28"/>
                <w:highlight w:val="none"/>
                <w:lang w:val="en-US" w:eastAsia="zh-CN"/>
              </w:rPr>
              <w:t>综合评分法</w:t>
            </w:r>
            <w:r>
              <w:rPr>
                <w:rFonts w:hint="eastAsia" w:ascii="仿宋" w:hAnsi="仿宋" w:eastAsia="仿宋" w:cs="仿宋"/>
                <w:color w:val="auto"/>
                <w:sz w:val="28"/>
                <w:szCs w:val="28"/>
                <w:highlight w:val="none"/>
              </w:rPr>
              <w:t>来确定中标候选人，通过资格审查且</w:t>
            </w:r>
            <w:r>
              <w:rPr>
                <w:rFonts w:hint="eastAsia" w:ascii="仿宋" w:hAnsi="仿宋" w:eastAsia="仿宋" w:cs="仿宋"/>
                <w:color w:val="auto"/>
                <w:sz w:val="28"/>
                <w:szCs w:val="28"/>
                <w:highlight w:val="none"/>
                <w:lang w:val="en-US" w:eastAsia="zh-CN"/>
              </w:rPr>
              <w:t>得分最高者</w:t>
            </w:r>
            <w:r>
              <w:rPr>
                <w:rFonts w:hint="eastAsia" w:ascii="仿宋" w:hAnsi="仿宋" w:eastAsia="仿宋" w:cs="仿宋"/>
                <w:color w:val="auto"/>
                <w:sz w:val="28"/>
                <w:szCs w:val="28"/>
                <w:highlight w:val="none"/>
              </w:rPr>
              <w:t>中标。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8178"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4.4</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pStyle w:val="8"/>
              <w:keepNext w:val="0"/>
              <w:keepLines w:val="0"/>
              <w:pageBreakBefore w:val="0"/>
              <w:widowControl/>
              <w:suppressLineNumbers w:val="0"/>
              <w:tabs>
                <w:tab w:val="left" w:pos="753"/>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本项目采用综合评分法来确定中标候选人，首先进行资格性审查和符合性审查，通过资格性审查和符合性审查的投标人进行述标，述标结束后，评审小组根据述标情况和标书进行详细评审，其操作程序为：</w:t>
            </w:r>
          </w:p>
          <w:p>
            <w:pPr>
              <w:pStyle w:val="8"/>
              <w:keepNext w:val="0"/>
              <w:keepLines w:val="0"/>
              <w:pageBreakBefore w:val="0"/>
              <w:widowControl/>
              <w:suppressLineNumbers w:val="0"/>
              <w:tabs>
                <w:tab w:val="left" w:pos="753"/>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按照下表所列商务、技术评价指标和各评价指标的分值及详细评分细则进行评分。</w:t>
            </w:r>
          </w:p>
          <w:tbl>
            <w:tblPr>
              <w:tblStyle w:val="22"/>
              <w:tblW w:w="5916" w:type="dxa"/>
              <w:tblInd w:w="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kern w:val="2"/>
                      <w:sz w:val="28"/>
                      <w:szCs w:val="28"/>
                      <w:highlight w:val="none"/>
                      <w:lang w:val="en-US" w:eastAsia="zh-CN" w:bidi="ar-SA"/>
                    </w:rPr>
                    <w:t>评标指标</w:t>
                  </w:r>
                </w:p>
              </w:tc>
              <w:tc>
                <w:tcPr>
                  <w:tcW w:w="40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kern w:val="2"/>
                      <w:sz w:val="28"/>
                      <w:szCs w:val="28"/>
                      <w:highlight w:val="none"/>
                      <w:lang w:val="en-US" w:eastAsia="zh-CN" w:bidi="ar-SA"/>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商务标</w:t>
                  </w:r>
                </w:p>
              </w:tc>
              <w:tc>
                <w:tcPr>
                  <w:tcW w:w="40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kern w:val="2"/>
                      <w:sz w:val="28"/>
                      <w:szCs w:val="28"/>
                      <w:highlight w:val="none"/>
                      <w:lang w:val="en-US" w:eastAsia="zh-CN" w:bidi="ar-SA"/>
                    </w:rPr>
                    <w:t>技术标</w:t>
                  </w:r>
                </w:p>
              </w:tc>
              <w:tc>
                <w:tcPr>
                  <w:tcW w:w="40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kern w:val="2"/>
                      <w:sz w:val="28"/>
                      <w:szCs w:val="28"/>
                      <w:highlight w:val="none"/>
                      <w:lang w:val="en-US" w:eastAsia="zh-CN" w:bidi="ar-S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kern w:val="2"/>
                      <w:sz w:val="28"/>
                      <w:szCs w:val="28"/>
                      <w:highlight w:val="none"/>
                      <w:lang w:val="en-US" w:eastAsia="zh-CN" w:bidi="ar-SA"/>
                    </w:rPr>
                    <w:t>经济标</w:t>
                  </w:r>
                </w:p>
              </w:tc>
              <w:tc>
                <w:tcPr>
                  <w:tcW w:w="40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kern w:val="2"/>
                      <w:sz w:val="28"/>
                      <w:szCs w:val="28"/>
                      <w:highlight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kern w:val="2"/>
                      <w:sz w:val="28"/>
                      <w:szCs w:val="28"/>
                      <w:highlight w:val="none"/>
                      <w:lang w:val="en-US" w:eastAsia="zh-CN" w:bidi="ar-SA"/>
                    </w:rPr>
                    <w:t>合  计</w:t>
                  </w:r>
                </w:p>
              </w:tc>
              <w:tc>
                <w:tcPr>
                  <w:tcW w:w="40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kern w:val="2"/>
                      <w:sz w:val="28"/>
                      <w:szCs w:val="28"/>
                      <w:highlight w:val="none"/>
                      <w:lang w:val="en-US" w:eastAsia="zh-CN" w:bidi="ar-SA"/>
                    </w:rPr>
                    <w:t>100</w:t>
                  </w:r>
                </w:p>
              </w:tc>
            </w:tr>
          </w:tbl>
          <w:p>
            <w:pPr>
              <w:pStyle w:val="8"/>
              <w:keepNext w:val="0"/>
              <w:keepLines w:val="0"/>
              <w:pageBreakBefore w:val="0"/>
              <w:widowControl/>
              <w:suppressLineNumbers w:val="0"/>
              <w:tabs>
                <w:tab w:val="left" w:pos="753"/>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特别说明：</w:t>
            </w:r>
          </w:p>
          <w:p>
            <w:pPr>
              <w:pStyle w:val="8"/>
              <w:keepNext w:val="0"/>
              <w:keepLines w:val="0"/>
              <w:pageBreakBefore w:val="0"/>
              <w:widowControl/>
              <w:suppressLineNumbers w:val="0"/>
              <w:tabs>
                <w:tab w:val="left" w:pos="753"/>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评委独立地根据投标文件内容及评审细则，结合每个投标人的实际情况，分别就各项指标对每个投标人独立打分（客观分除外）。将所有评价指标所得实际评价分数相加，即为该投标人得分；所有评委对同一投标人评分的算术平均值为该投标人的最终得分。</w:t>
            </w:r>
          </w:p>
          <w:p>
            <w:pPr>
              <w:pStyle w:val="8"/>
              <w:keepNext w:val="0"/>
              <w:keepLines w:val="0"/>
              <w:pageBreakBefore w:val="0"/>
              <w:widowControl/>
              <w:suppressLineNumbers w:val="0"/>
              <w:tabs>
                <w:tab w:val="left" w:pos="753"/>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2、按照下列公式计算投标人的投标最终得分：</w:t>
            </w:r>
          </w:p>
          <w:p>
            <w:pPr>
              <w:pStyle w:val="8"/>
              <w:keepNext w:val="0"/>
              <w:keepLines w:val="0"/>
              <w:pageBreakBefore w:val="0"/>
              <w:widowControl/>
              <w:suppressLineNumbers w:val="0"/>
              <w:tabs>
                <w:tab w:val="left" w:pos="753"/>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投标最终得分=商务标书得分+技术标得分+经济标得分</w:t>
            </w:r>
          </w:p>
          <w:p>
            <w:pPr>
              <w:pStyle w:val="8"/>
              <w:keepNext w:val="0"/>
              <w:keepLines w:val="0"/>
              <w:pageBreakBefore w:val="0"/>
              <w:widowControl/>
              <w:suppressLineNumbers w:val="0"/>
              <w:tabs>
                <w:tab w:val="left" w:pos="753"/>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3、评标委员会将根据最终得分最高的投标人为本项目的中标人候选人。</w:t>
            </w:r>
          </w:p>
          <w:p>
            <w:pPr>
              <w:pStyle w:val="8"/>
              <w:keepNext w:val="0"/>
              <w:keepLines w:val="0"/>
              <w:pageBreakBefore w:val="0"/>
              <w:widowControl/>
              <w:suppressLineNumbers w:val="0"/>
              <w:tabs>
                <w:tab w:val="left" w:pos="753"/>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4、得分相同的，按技术标书得分由高到低顺序排列。得分且技术标书得分仍相同的，按投标报价得分由高到低顺序排列。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43"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pStyle w:val="8"/>
              <w:keepNext w:val="0"/>
              <w:keepLines w:val="0"/>
              <w:pageBreakBefore w:val="0"/>
              <w:widowControl/>
              <w:suppressLineNumbers w:val="0"/>
              <w:tabs>
                <w:tab w:val="left" w:pos="753"/>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楷体" w:hAnsi="楷体" w:eastAsia="楷体" w:cs="楷体"/>
                <w:b/>
                <w:bCs/>
                <w:color w:val="auto"/>
                <w:kern w:val="2"/>
                <w:sz w:val="28"/>
                <w:szCs w:val="28"/>
                <w:highlight w:val="none"/>
                <w:lang w:val="en-US" w:eastAsia="zh-CN" w:bidi="ar-SA"/>
              </w:rPr>
              <w:t>废除中标</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highlight w:val="none"/>
          <w:lang w:val="en-US" w:eastAsia="zh-CN"/>
        </w:rPr>
        <w:sectPr>
          <w:headerReference r:id="rId5" w:type="default"/>
          <w:footerReference r:id="rId6" w:type="default"/>
          <w:pgSz w:w="11906" w:h="16838"/>
          <w:pgMar w:top="1417" w:right="1304" w:bottom="1134" w:left="1304" w:header="851" w:footer="851" w:gutter="113"/>
          <w:pgNumType w:fmt="decimal"/>
          <w:cols w:space="720" w:num="1"/>
          <w:rtlGutter w:val="0"/>
          <w:docGrid w:linePitch="290" w:charSpace="87938"/>
        </w:sectPr>
      </w:pPr>
    </w:p>
    <w:tbl>
      <w:tblPr>
        <w:tblStyle w:val="21"/>
        <w:tblW w:w="902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28"/>
        <w:gridCol w:w="810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pStyle w:val="8"/>
              <w:keepNext w:val="0"/>
              <w:keepLines w:val="0"/>
              <w:pageBreakBefore w:val="0"/>
              <w:widowControl/>
              <w:suppressLineNumbers w:val="0"/>
              <w:tabs>
                <w:tab w:val="left" w:pos="753"/>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由于中标人原因被废除中标或中标人放弃中标，招标人将按照下列两种方式处理：</w:t>
            </w:r>
          </w:p>
          <w:p>
            <w:pPr>
              <w:pStyle w:val="8"/>
              <w:keepNext w:val="0"/>
              <w:keepLines w:val="0"/>
              <w:pageBreakBefore w:val="0"/>
              <w:widowControl/>
              <w:suppressLineNumbers w:val="0"/>
              <w:tabs>
                <w:tab w:val="left" w:pos="753"/>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①</w:t>
            </w:r>
            <w:r>
              <w:rPr>
                <w:rFonts w:hint="eastAsia" w:ascii="仿宋" w:hAnsi="仿宋" w:eastAsia="仿宋" w:cs="仿宋"/>
                <w:color w:val="auto"/>
                <w:kern w:val="2"/>
                <w:sz w:val="28"/>
                <w:szCs w:val="28"/>
                <w:highlight w:val="none"/>
                <w:lang w:val="en-US" w:eastAsia="zh-CN" w:bidi="ar-SA"/>
              </w:rPr>
              <w:t>以第一中标候选人投标报价为中标价，按照中标候选人排列顺序依次选择排列第二、第三的中标候选人作为中标人。若排列第二、第三的中标候选人均被废除中标或放弃中标，则重新组织招标。</w:t>
            </w:r>
          </w:p>
          <w:p>
            <w:pPr>
              <w:pStyle w:val="8"/>
              <w:keepNext w:val="0"/>
              <w:keepLines w:val="0"/>
              <w:pageBreakBefore w:val="0"/>
              <w:widowControl/>
              <w:suppressLineNumbers w:val="0"/>
              <w:tabs>
                <w:tab w:val="left" w:pos="753"/>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lang w:val="en-US" w:eastAsia="zh-CN"/>
              </w:rPr>
            </w:pPr>
            <w:r>
              <w:rPr>
                <w:rFonts w:hint="default" w:ascii="仿宋" w:hAnsi="仿宋" w:eastAsia="仿宋" w:cs="仿宋"/>
                <w:color w:val="auto"/>
                <w:kern w:val="2"/>
                <w:sz w:val="28"/>
                <w:szCs w:val="28"/>
                <w:highlight w:val="none"/>
                <w:lang w:val="en-US" w:eastAsia="zh-CN" w:bidi="ar-SA"/>
              </w:rPr>
              <w:t>②</w:t>
            </w:r>
            <w:r>
              <w:rPr>
                <w:rFonts w:hint="eastAsia" w:ascii="仿宋" w:hAnsi="仿宋" w:eastAsia="仿宋" w:cs="仿宋"/>
                <w:color w:val="auto"/>
                <w:kern w:val="2"/>
                <w:sz w:val="28"/>
                <w:szCs w:val="28"/>
                <w:highlight w:val="none"/>
                <w:lang w:val="en-US" w:eastAsia="zh-CN" w:bidi="ar-SA"/>
              </w:rPr>
              <w:t>重新组织招标。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603"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pStyle w:val="8"/>
              <w:keepNext w:val="0"/>
              <w:keepLines w:val="0"/>
              <w:pageBreakBefore w:val="0"/>
              <w:widowControl/>
              <w:suppressLineNumbers w:val="0"/>
              <w:tabs>
                <w:tab w:val="left" w:pos="753"/>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楷体" w:hAnsi="楷体" w:eastAsia="楷体" w:cs="楷体"/>
                <w:b/>
                <w:bCs/>
                <w:color w:val="auto"/>
                <w:kern w:val="2"/>
                <w:sz w:val="28"/>
                <w:szCs w:val="28"/>
                <w:highlight w:val="none"/>
                <w:lang w:val="en-US" w:eastAsia="zh-CN" w:bidi="ar-SA"/>
              </w:rPr>
              <w:t>招标议程安排</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603" w:hRule="atLeast"/>
          <w:jc w:val="center"/>
        </w:trPr>
        <w:tc>
          <w:tcPr>
            <w:tcW w:w="928"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6.1</w:t>
            </w:r>
          </w:p>
        </w:tc>
        <w:tc>
          <w:tcPr>
            <w:tcW w:w="8100" w:type="dxa"/>
            <w:tcBorders>
              <w:top w:val="single" w:color="000000" w:sz="8" w:space="0"/>
              <w:left w:val="single" w:color="000000" w:sz="8" w:space="0"/>
              <w:bottom w:val="single" w:color="000000" w:sz="8" w:space="0"/>
              <w:right w:val="single" w:color="000000" w:sz="12" w:space="0"/>
            </w:tcBorders>
            <w:noWrap w:val="0"/>
            <w:vAlign w:val="center"/>
          </w:tcPr>
          <w:p>
            <w:pPr>
              <w:pStyle w:val="8"/>
              <w:keepNext w:val="0"/>
              <w:keepLines w:val="0"/>
              <w:pageBreakBefore w:val="0"/>
              <w:widowControl/>
              <w:suppressLineNumbers w:val="0"/>
              <w:tabs>
                <w:tab w:val="left" w:pos="753"/>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①</w:t>
            </w:r>
            <w:r>
              <w:rPr>
                <w:rFonts w:hint="default" w:ascii="仿宋" w:hAnsi="仿宋" w:eastAsia="仿宋" w:cs="仿宋"/>
                <w:color w:val="auto"/>
                <w:kern w:val="2"/>
                <w:sz w:val="28"/>
                <w:szCs w:val="28"/>
                <w:highlight w:val="none"/>
                <w:lang w:val="en-US" w:eastAsia="zh-CN" w:bidi="ar-SA"/>
              </w:rPr>
              <w:t>资格审查</w:t>
            </w:r>
          </w:p>
          <w:p>
            <w:pPr>
              <w:pStyle w:val="8"/>
              <w:keepNext w:val="0"/>
              <w:keepLines w:val="0"/>
              <w:pageBreakBefore w:val="0"/>
              <w:widowControl/>
              <w:suppressLineNumbers w:val="0"/>
              <w:tabs>
                <w:tab w:val="left" w:pos="753"/>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②</w:t>
            </w:r>
            <w:r>
              <w:rPr>
                <w:rFonts w:hint="default" w:ascii="仿宋" w:hAnsi="仿宋" w:eastAsia="仿宋" w:cs="仿宋"/>
                <w:color w:val="auto"/>
                <w:kern w:val="2"/>
                <w:sz w:val="28"/>
                <w:szCs w:val="28"/>
                <w:highlight w:val="none"/>
                <w:lang w:val="en-US" w:eastAsia="zh-CN" w:bidi="ar-SA"/>
              </w:rPr>
              <w:t>评标</w:t>
            </w:r>
          </w:p>
          <w:p>
            <w:pPr>
              <w:pStyle w:val="8"/>
              <w:keepNext w:val="0"/>
              <w:keepLines w:val="0"/>
              <w:pageBreakBefore w:val="0"/>
              <w:widowControl/>
              <w:suppressLineNumbers w:val="0"/>
              <w:tabs>
                <w:tab w:val="left" w:pos="753"/>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color w:val="auto"/>
                <w:highlight w:val="none"/>
                <w:lang w:val="en-US" w:eastAsia="zh-CN"/>
              </w:rPr>
            </w:pPr>
            <w:r>
              <w:rPr>
                <w:rFonts w:hint="eastAsia" w:ascii="仿宋" w:hAnsi="仿宋" w:eastAsia="仿宋" w:cs="仿宋"/>
                <w:color w:val="auto"/>
                <w:kern w:val="2"/>
                <w:sz w:val="28"/>
                <w:szCs w:val="28"/>
                <w:highlight w:val="none"/>
                <w:lang w:val="en-US" w:eastAsia="zh-CN" w:bidi="ar-SA"/>
              </w:rPr>
              <w:t>③定标</w:t>
            </w:r>
          </w:p>
        </w:tc>
      </w:tr>
    </w:tbl>
    <w:p>
      <w:pPr>
        <w:rPr>
          <w:rFonts w:hint="eastAsia" w:ascii="Times New Roman" w:hAnsi="Times New Roman" w:eastAsia="宋体" w:cs="Times New Roman"/>
          <w:sz w:val="72"/>
          <w:szCs w:val="72"/>
          <w:highlight w:val="none"/>
          <w:lang w:val="en-US" w:eastAsia="zh-CN"/>
        </w:rPr>
      </w:pPr>
      <w:r>
        <w:rPr>
          <w:rFonts w:hint="eastAsia" w:ascii="仿宋" w:hAnsi="仿宋" w:eastAsia="仿宋" w:cs="仿宋"/>
          <w:sz w:val="24"/>
          <w:szCs w:val="24"/>
          <w:highlight w:val="none"/>
        </w:rPr>
        <w:br w:type="page"/>
      </w:r>
    </w:p>
    <w:p>
      <w:pPr>
        <w:jc w:val="center"/>
        <w:rPr>
          <w:rFonts w:hint="eastAsia" w:ascii="方正小标宋简体" w:hAnsi="方正小标宋简体" w:eastAsia="方正小标宋简体" w:cs="方正小标宋简体"/>
          <w:sz w:val="52"/>
          <w:szCs w:val="52"/>
          <w:highlight w:val="none"/>
          <w:lang w:val="en-US" w:eastAsia="zh-CN"/>
        </w:rPr>
      </w:pPr>
      <w:r>
        <w:rPr>
          <w:rFonts w:hint="eastAsia" w:ascii="方正小标宋简体" w:hAnsi="方正小标宋简体" w:eastAsia="方正小标宋简体" w:cs="方正小标宋简体"/>
          <w:sz w:val="52"/>
          <w:szCs w:val="52"/>
          <w:highlight w:val="none"/>
          <w:lang w:val="en-US" w:eastAsia="zh-CN"/>
        </w:rPr>
        <w:t>第二部分 供应商须知</w:t>
      </w:r>
    </w:p>
    <w:p>
      <w:pPr>
        <w:keepNext w:val="0"/>
        <w:keepLines w:val="0"/>
        <w:pageBreakBefore w:val="0"/>
        <w:widowControl w:val="0"/>
        <w:kinsoku/>
        <w:wordWrap/>
        <w:overflowPunct/>
        <w:topLinePunct w:val="0"/>
        <w:autoSpaceDE/>
        <w:autoSpaceDN/>
        <w:bidi w:val="0"/>
        <w:adjustRightInd w:val="0"/>
        <w:snapToGrid w:val="0"/>
        <w:spacing w:line="300" w:lineRule="exact"/>
        <w:ind w:firstLine="482" w:firstLineChars="200"/>
        <w:textAlignment w:val="auto"/>
        <w:rPr>
          <w:rFonts w:hint="eastAsia" w:ascii="仿宋" w:hAnsi="仿宋" w:eastAsia="仿宋" w:cs="仿宋"/>
          <w:b/>
          <w:bCs/>
          <w:kern w:val="0"/>
          <w:sz w:val="24"/>
          <w:highlight w:val="none"/>
          <w:lang w:eastAsia="zh-CN"/>
        </w:rPr>
      </w:pPr>
      <w:r>
        <w:rPr>
          <w:rFonts w:hint="eastAsia" w:ascii="仿宋" w:hAnsi="仿宋" w:eastAsia="仿宋" w:cs="仿宋"/>
          <w:b/>
          <w:bCs/>
          <w:kern w:val="0"/>
          <w:sz w:val="24"/>
          <w:highlight w:val="none"/>
        </w:rPr>
        <w:t>一、</w:t>
      </w:r>
      <w:bookmarkStart w:id="0" w:name="OLE_LINK2"/>
      <w:r>
        <w:rPr>
          <w:rFonts w:hint="eastAsia" w:ascii="仿宋" w:hAnsi="仿宋" w:eastAsia="仿宋" w:cs="仿宋"/>
          <w:b/>
          <w:bCs/>
          <w:kern w:val="0"/>
          <w:sz w:val="24"/>
          <w:highlight w:val="none"/>
        </w:rPr>
        <w:t>招标项目</w:t>
      </w:r>
      <w:bookmarkEnd w:id="0"/>
      <w:r>
        <w:rPr>
          <w:rFonts w:hint="eastAsia" w:ascii="仿宋" w:hAnsi="仿宋" w:eastAsia="仿宋" w:cs="仿宋"/>
          <w:b/>
          <w:bCs/>
          <w:kern w:val="0"/>
          <w:sz w:val="24"/>
          <w:highlight w:val="none"/>
          <w:lang w:eastAsia="zh-CN"/>
        </w:rPr>
        <w:t>概况</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（一）项目名称：</w:t>
      </w:r>
      <w:r>
        <w:rPr>
          <w:rFonts w:hint="eastAsia" w:ascii="仿宋" w:hAnsi="仿宋" w:eastAsia="仿宋" w:cs="Times New Roman"/>
          <w:sz w:val="24"/>
          <w:highlight w:val="none"/>
          <w:lang w:val="en-US" w:eastAsia="zh-CN"/>
        </w:rPr>
        <w:t>汇华水岸4栋家电采购安装服务；</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二）项目内容：针对汇华水岸花园项目采取“租售”同步的策略，为加快工作进度，提高市场竞争力，更好的完成年度租赁任务，拟计划对汇华水岸花园4栋33套房源配置冰箱、电视、洗衣机、热水器家电四件套，作为户内设施配套。</w:t>
      </w:r>
      <w:r>
        <w:rPr>
          <w:rFonts w:hint="eastAsia" w:ascii="仿宋" w:hAnsi="仿宋" w:eastAsia="仿宋" w:cs="仿宋"/>
          <w:sz w:val="24"/>
          <w:highlight w:val="none"/>
          <w:lang w:val="en-US" w:eastAsia="zh-CN"/>
        </w:rPr>
        <w:t>具体内容详见下列清单，清单中的数量为暂定需求，具体以甲方实际下定数量为准，据实结算。</w:t>
      </w:r>
    </w:p>
    <w:p>
      <w:pPr>
        <w:pStyle w:val="20"/>
        <w:rPr>
          <w:rFonts w:hint="default"/>
          <w:lang w:val="en-US" w:eastAsia="zh-CN"/>
        </w:rPr>
      </w:pPr>
    </w:p>
    <w:tbl>
      <w:tblPr>
        <w:tblStyle w:val="21"/>
        <w:tblW w:w="50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
        <w:gridCol w:w="696"/>
        <w:gridCol w:w="936"/>
        <w:gridCol w:w="2458"/>
        <w:gridCol w:w="2176"/>
        <w:gridCol w:w="1185"/>
        <w:gridCol w:w="765"/>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atLeast"/>
        </w:trPr>
        <w:tc>
          <w:tcPr>
            <w:tcW w:w="2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位置</w:t>
            </w:r>
          </w:p>
        </w:tc>
        <w:tc>
          <w:tcPr>
            <w:tcW w:w="4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货物名称</w:t>
            </w:r>
          </w:p>
        </w:tc>
        <w:tc>
          <w:tcPr>
            <w:tcW w:w="1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参数规格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(可优于）</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参考样式</w:t>
            </w: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推荐品牌</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0" w:hRule="atLeast"/>
        </w:trPr>
        <w:tc>
          <w:tcPr>
            <w:tcW w:w="2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客厅</w:t>
            </w:r>
          </w:p>
        </w:tc>
        <w:tc>
          <w:tcPr>
            <w:tcW w:w="4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电视</w:t>
            </w:r>
          </w:p>
        </w:tc>
        <w:tc>
          <w:tcPr>
            <w:tcW w:w="1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产品定位：智能电视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屏幕尺寸：50寸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分辨率：4K</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屏幕比例：16:9</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电源性能：220V/50Hz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产品能耗：110W-120W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含安装，安装含配件：普通底座。</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109220</wp:posOffset>
                  </wp:positionH>
                  <wp:positionV relativeFrom="paragraph">
                    <wp:posOffset>819150</wp:posOffset>
                  </wp:positionV>
                  <wp:extent cx="944880" cy="784860"/>
                  <wp:effectExtent l="0" t="0" r="7620" b="15240"/>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10"/>
                          <a:stretch>
                            <a:fillRect/>
                          </a:stretch>
                        </pic:blipFill>
                        <pic:spPr>
                          <a:xfrm>
                            <a:off x="0" y="0"/>
                            <a:ext cx="944880" cy="784860"/>
                          </a:xfrm>
                          <a:prstGeom prst="rect">
                            <a:avLst/>
                          </a:prstGeom>
                          <a:noFill/>
                          <a:ln>
                            <a:noFill/>
                          </a:ln>
                        </pic:spPr>
                      </pic:pic>
                    </a:graphicData>
                  </a:graphic>
                </wp:anchor>
              </w:drawing>
            </w: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创维、海信、TCL或同等质量以上品牌</w:t>
            </w:r>
          </w:p>
        </w:tc>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0" w:hRule="atLeast"/>
        </w:trPr>
        <w:tc>
          <w:tcPr>
            <w:tcW w:w="2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阳台</w:t>
            </w:r>
          </w:p>
        </w:tc>
        <w:tc>
          <w:tcPr>
            <w:tcW w:w="4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洗衣机</w:t>
            </w:r>
          </w:p>
        </w:tc>
        <w:tc>
          <w:tcPr>
            <w:tcW w:w="1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产品类别：波轮式            自动化程度：全自动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开门方式：顶开式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洗涤容量：8kg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脱水容量：8kg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能效等级：2级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电源性能：220V/50Hz</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firstLine="0" w:firstLineChars="0"/>
              <w:rPr>
                <w:rFonts w:hint="eastAsia" w:eastAsia="黑体"/>
                <w:lang w:val="en-US" w:eastAsia="zh-CN"/>
              </w:rPr>
            </w:pPr>
            <w:r>
              <w:rPr>
                <w:rFonts w:hint="eastAsia" w:ascii="仿宋" w:hAnsi="仿宋" w:eastAsia="仿宋" w:cs="仿宋"/>
                <w:b w:val="0"/>
                <w:bCs w:val="0"/>
                <w:i w:val="0"/>
                <w:iCs w:val="0"/>
                <w:color w:val="000000"/>
                <w:kern w:val="0"/>
                <w:sz w:val="24"/>
                <w:szCs w:val="24"/>
                <w:u w:val="none"/>
                <w:lang w:val="en-US" w:eastAsia="zh-CN" w:bidi="ar"/>
              </w:rPr>
              <w:t>含安装。</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177165</wp:posOffset>
                  </wp:positionH>
                  <wp:positionV relativeFrom="paragraph">
                    <wp:posOffset>509270</wp:posOffset>
                  </wp:positionV>
                  <wp:extent cx="781685" cy="1241425"/>
                  <wp:effectExtent l="0" t="0" r="18415" b="15875"/>
                  <wp:wrapNone/>
                  <wp:docPr id="3" name="图片_10"/>
                  <wp:cNvGraphicFramePr/>
                  <a:graphic xmlns:a="http://schemas.openxmlformats.org/drawingml/2006/main">
                    <a:graphicData uri="http://schemas.openxmlformats.org/drawingml/2006/picture">
                      <pic:pic xmlns:pic="http://schemas.openxmlformats.org/drawingml/2006/picture">
                        <pic:nvPicPr>
                          <pic:cNvPr id="3" name="图片_10"/>
                          <pic:cNvPicPr/>
                        </pic:nvPicPr>
                        <pic:blipFill>
                          <a:blip r:embed="rId11"/>
                          <a:stretch>
                            <a:fillRect/>
                          </a:stretch>
                        </pic:blipFill>
                        <pic:spPr>
                          <a:xfrm>
                            <a:off x="0" y="0"/>
                            <a:ext cx="781685" cy="1241425"/>
                          </a:xfrm>
                          <a:prstGeom prst="rect">
                            <a:avLst/>
                          </a:prstGeom>
                          <a:noFill/>
                          <a:ln>
                            <a:noFill/>
                          </a:ln>
                        </pic:spPr>
                      </pic:pic>
                    </a:graphicData>
                  </a:graphic>
                </wp:anchor>
              </w:drawing>
            </w: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美的、海尔、小天鹅或同等质量以上品牌</w:t>
            </w:r>
          </w:p>
        </w:tc>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33</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0" w:hRule="atLeast"/>
        </w:trPr>
        <w:tc>
          <w:tcPr>
            <w:tcW w:w="2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厨房/  客厅</w:t>
            </w:r>
          </w:p>
        </w:tc>
        <w:tc>
          <w:tcPr>
            <w:tcW w:w="4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冰箱</w:t>
            </w:r>
          </w:p>
        </w:tc>
        <w:tc>
          <w:tcPr>
            <w:tcW w:w="1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产品类型：三开门冰箱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总容积:约215L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制冷能力：1.5KG/24h</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温控方式：机械温控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制冷方式：直冷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能效等级：3级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电源性能：220V/50Hz</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firstLine="0" w:firstLineChars="0"/>
              <w:rPr>
                <w:rFonts w:hint="default"/>
                <w:lang w:val="en-US"/>
              </w:rPr>
            </w:pPr>
            <w:r>
              <w:rPr>
                <w:rFonts w:hint="eastAsia" w:ascii="仿宋" w:hAnsi="仿宋" w:eastAsia="仿宋" w:cs="仿宋"/>
                <w:b w:val="0"/>
                <w:bCs w:val="0"/>
                <w:i w:val="0"/>
                <w:iCs w:val="0"/>
                <w:color w:val="000000"/>
                <w:kern w:val="0"/>
                <w:sz w:val="24"/>
                <w:szCs w:val="24"/>
                <w:u w:val="none"/>
                <w:lang w:val="en-US" w:eastAsia="zh-CN" w:bidi="ar"/>
              </w:rPr>
              <w:t>含安装。</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316865</wp:posOffset>
                  </wp:positionH>
                  <wp:positionV relativeFrom="paragraph">
                    <wp:posOffset>436245</wp:posOffset>
                  </wp:positionV>
                  <wp:extent cx="706120" cy="1457960"/>
                  <wp:effectExtent l="0" t="0" r="17780" b="8890"/>
                  <wp:wrapNone/>
                  <wp:docPr id="2" name="图片_7"/>
                  <wp:cNvGraphicFramePr/>
                  <a:graphic xmlns:a="http://schemas.openxmlformats.org/drawingml/2006/main">
                    <a:graphicData uri="http://schemas.openxmlformats.org/drawingml/2006/picture">
                      <pic:pic xmlns:pic="http://schemas.openxmlformats.org/drawingml/2006/picture">
                        <pic:nvPicPr>
                          <pic:cNvPr id="2" name="图片_7"/>
                          <pic:cNvPicPr/>
                        </pic:nvPicPr>
                        <pic:blipFill>
                          <a:blip r:embed="rId12"/>
                          <a:stretch>
                            <a:fillRect/>
                          </a:stretch>
                        </pic:blipFill>
                        <pic:spPr>
                          <a:xfrm>
                            <a:off x="0" y="0"/>
                            <a:ext cx="706120" cy="1457960"/>
                          </a:xfrm>
                          <a:prstGeom prst="rect">
                            <a:avLst/>
                          </a:prstGeom>
                          <a:noFill/>
                          <a:ln>
                            <a:noFill/>
                          </a:ln>
                        </pic:spPr>
                      </pic:pic>
                    </a:graphicData>
                  </a:graphic>
                </wp:anchor>
              </w:drawing>
            </w: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海尔、美的、新飞或同等质量以上品牌</w:t>
            </w:r>
          </w:p>
        </w:tc>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33</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5" w:hRule="atLeast"/>
        </w:trPr>
        <w:tc>
          <w:tcPr>
            <w:tcW w:w="2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洗手间</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燃气热水器</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安装环境：浴室外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容量：13L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定额功率：48W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额定热负荷：30KW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电源规格：220V/50Hz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能效等级：2级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lang w:val="en-US" w:eastAsia="zh-CN"/>
              </w:rPr>
            </w:pPr>
            <w:r>
              <w:rPr>
                <w:rFonts w:hint="eastAsia" w:ascii="仿宋" w:hAnsi="仿宋" w:eastAsia="仿宋" w:cs="仿宋"/>
                <w:i w:val="0"/>
                <w:iCs w:val="0"/>
                <w:color w:val="000000"/>
                <w:kern w:val="0"/>
                <w:sz w:val="24"/>
                <w:szCs w:val="24"/>
                <w:u w:val="none"/>
                <w:lang w:val="en-US" w:eastAsia="zh-CN" w:bidi="ar"/>
              </w:rPr>
              <w:t>含安装，安装含配件，含不锈钢波纹管2条、不锈钢波纹烟管/不锈钢烟管1条。</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4"/>
                <w:szCs w:val="24"/>
                <w:u w:val="none"/>
                <w:bdr w:val="single" w:color="000000" w:sz="4" w:space="0"/>
                <w:lang w:val="en-US" w:eastAsia="zh-CN" w:bidi="ar"/>
              </w:rPr>
            </w:pPr>
            <w:r>
              <w:rPr>
                <w:rFonts w:hint="default"/>
              </w:rPr>
              <w:drawing>
                <wp:anchor distT="0" distB="0" distL="114300" distR="114300" simplePos="0" relativeHeight="251665408" behindDoc="0" locked="0" layoutInCell="1" allowOverlap="1">
                  <wp:simplePos x="0" y="0"/>
                  <wp:positionH relativeFrom="column">
                    <wp:posOffset>60325</wp:posOffset>
                  </wp:positionH>
                  <wp:positionV relativeFrom="paragraph">
                    <wp:posOffset>495300</wp:posOffset>
                  </wp:positionV>
                  <wp:extent cx="1125855" cy="1358900"/>
                  <wp:effectExtent l="0" t="0" r="17145" b="12700"/>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3"/>
                          <a:stretch>
                            <a:fillRect/>
                          </a:stretch>
                        </pic:blipFill>
                        <pic:spPr>
                          <a:xfrm>
                            <a:off x="0" y="0"/>
                            <a:ext cx="1125855" cy="1358900"/>
                          </a:xfrm>
                          <a:prstGeom prst="rect">
                            <a:avLst/>
                          </a:prstGeom>
                          <a:noFill/>
                          <a:ln>
                            <a:noFill/>
                          </a:ln>
                        </pic:spPr>
                      </pic:pic>
                    </a:graphicData>
                  </a:graphic>
                </wp:anchor>
              </w:drawing>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海尔、美的、万家乐或同等质量以上品牌</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（三）</w:t>
      </w:r>
      <w:r>
        <w:rPr>
          <w:rFonts w:hint="eastAsia" w:ascii="仿宋" w:hAnsi="仿宋" w:eastAsia="仿宋" w:cs="仿宋"/>
          <w:sz w:val="24"/>
          <w:highlight w:val="none"/>
          <w:lang w:val="en-US" w:eastAsia="zh-CN"/>
        </w:rPr>
        <w:t>报价方式：价格报价；投标上限价</w:t>
      </w:r>
      <w:r>
        <w:rPr>
          <w:rFonts w:hint="eastAsia" w:ascii="仿宋" w:hAnsi="仿宋" w:eastAsia="仿宋" w:cs="仿宋"/>
          <w:sz w:val="24"/>
          <w:highlight w:val="none"/>
        </w:rPr>
        <w:t>：</w:t>
      </w:r>
      <w:r>
        <w:rPr>
          <w:rFonts w:hint="eastAsia" w:ascii="仿宋" w:hAnsi="仿宋" w:eastAsia="仿宋" w:cs="仿宋"/>
          <w:color w:val="FF0000"/>
          <w:sz w:val="24"/>
          <w:highlight w:val="none"/>
          <w:lang w:val="en-US" w:eastAsia="zh-CN"/>
        </w:rPr>
        <w:t>≤151770.19</w:t>
      </w:r>
      <w:r>
        <w:rPr>
          <w:rFonts w:hint="eastAsia" w:ascii="仿宋" w:hAnsi="仿宋" w:eastAsia="仿宋" w:cs="仿宋"/>
          <w:sz w:val="24"/>
          <w:highlight w:val="none"/>
          <w:lang w:val="en-US" w:eastAsia="zh-CN"/>
        </w:rPr>
        <w:t>元。</w:t>
      </w:r>
      <w:r>
        <w:rPr>
          <w:rFonts w:hint="eastAsia" w:ascii="仿宋" w:hAnsi="仿宋" w:eastAsia="仿宋" w:cs="仿宋"/>
          <w:sz w:val="24"/>
          <w:highlight w:val="none"/>
        </w:rPr>
        <w:t>所有高于招标控制价的报价将不被接受。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）定标方法：</w:t>
      </w:r>
      <w:r>
        <w:rPr>
          <w:rFonts w:hint="eastAsia" w:ascii="仿宋" w:hAnsi="仿宋" w:eastAsia="仿宋" w:cs="仿宋"/>
          <w:sz w:val="24"/>
          <w:highlight w:val="none"/>
          <w:u w:val="single"/>
          <w:lang w:eastAsia="zh-CN"/>
        </w:rPr>
        <w:t>综合评分</w:t>
      </w:r>
      <w:r>
        <w:rPr>
          <w:rFonts w:hint="eastAsia" w:ascii="仿宋" w:hAnsi="仿宋" w:eastAsia="仿宋" w:cs="仿宋"/>
          <w:sz w:val="24"/>
          <w:highlight w:val="none"/>
        </w:rPr>
        <w:t>。</w:t>
      </w:r>
    </w:p>
    <w:p>
      <w:pPr>
        <w:pStyle w:val="20"/>
        <w:keepNext w:val="0"/>
        <w:keepLines w:val="0"/>
        <w:pageBreakBefore w:val="0"/>
        <w:widowControl w:val="0"/>
        <w:kinsoku/>
        <w:wordWrap/>
        <w:overflowPunct/>
        <w:topLinePunct w:val="0"/>
        <w:autoSpaceDE w:val="0"/>
        <w:autoSpaceDN w:val="0"/>
        <w:bidi w:val="0"/>
        <w:adjustRightInd w:val="0"/>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五</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工期要求：招标人按需下单，中标人在接到货物订购清单后10天内将货物送到招标人指定的地点进行入户安装摆放。</w:t>
      </w:r>
    </w:p>
    <w:p>
      <w:pPr>
        <w:keepNext w:val="0"/>
        <w:keepLines w:val="0"/>
        <w:pageBreakBefore w:val="0"/>
        <w:widowControl w:val="0"/>
        <w:kinsoku/>
        <w:wordWrap/>
        <w:overflowPunct/>
        <w:topLinePunct w:val="0"/>
        <w:bidi w:val="0"/>
        <w:spacing w:line="360" w:lineRule="exact"/>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（六）付款方式：①</w:t>
      </w:r>
      <w:r>
        <w:rPr>
          <w:rFonts w:hint="eastAsia" w:ascii="仿宋" w:hAnsi="仿宋" w:eastAsia="仿宋" w:cs="仿宋"/>
          <w:kern w:val="2"/>
          <w:sz w:val="24"/>
          <w:szCs w:val="24"/>
          <w:highlight w:val="none"/>
          <w:lang w:val="en-US" w:eastAsia="zh-CN" w:bidi="ar-SA"/>
        </w:rPr>
        <w:t>单个批次货物订购清单的所有货物安装调试完毕并经招标人验收合格后20个工作日内，支付至该批次货物订购清单货款的97%。②单个批次订单余下结算款的3%作为项目质量保证金；质保期满后货物无重大质量问题，质量保证金无息支付给中标人；项目质保期为一年。</w:t>
      </w:r>
    </w:p>
    <w:p>
      <w:pPr>
        <w:pStyle w:val="5"/>
        <w:keepNext w:val="0"/>
        <w:keepLines w:val="0"/>
        <w:pageBreakBefore w:val="0"/>
        <w:widowControl w:val="0"/>
        <w:kinsoku/>
        <w:wordWrap/>
        <w:overflowPunct/>
        <w:topLinePunct w:val="0"/>
        <w:autoSpaceDE w:val="0"/>
        <w:autoSpaceDN w:val="0"/>
        <w:bidi w:val="0"/>
        <w:adjustRightInd w:val="0"/>
        <w:spacing w:line="360" w:lineRule="exact"/>
        <w:ind w:left="0" w:leftChars="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（七）中标供应商送货前必须提供</w:t>
      </w:r>
      <w:r>
        <w:rPr>
          <w:rFonts w:hint="eastAsia" w:ascii="仿宋" w:hAnsi="仿宋" w:eastAsia="仿宋" w:cs="仿宋"/>
          <w:b w:val="0"/>
          <w:bCs/>
          <w:color w:val="auto"/>
          <w:sz w:val="24"/>
          <w:szCs w:val="24"/>
          <w:lang w:val="en-US" w:eastAsia="zh-CN"/>
        </w:rPr>
        <w:t>投标产品</w:t>
      </w:r>
      <w:r>
        <w:rPr>
          <w:rFonts w:hint="eastAsia" w:ascii="仿宋" w:hAnsi="仿宋" w:eastAsia="仿宋" w:cs="仿宋"/>
          <w:b w:val="0"/>
          <w:bCs/>
          <w:color w:val="auto"/>
          <w:sz w:val="24"/>
          <w:szCs w:val="24"/>
          <w:lang w:val="en-US"/>
        </w:rPr>
        <w:t>的</w:t>
      </w:r>
      <w:r>
        <w:rPr>
          <w:rFonts w:hint="eastAsia" w:ascii="仿宋" w:hAnsi="仿宋" w:eastAsia="仿宋" w:cs="仿宋"/>
          <w:b w:val="0"/>
          <w:bCs/>
          <w:color w:val="auto"/>
          <w:sz w:val="24"/>
          <w:szCs w:val="24"/>
        </w:rPr>
        <w:t>生产厂家或代理</w:t>
      </w:r>
      <w:r>
        <w:rPr>
          <w:rFonts w:hint="eastAsia" w:ascii="仿宋" w:hAnsi="仿宋" w:eastAsia="仿宋" w:cs="仿宋"/>
          <w:b w:val="0"/>
          <w:bCs/>
          <w:color w:val="auto"/>
          <w:sz w:val="24"/>
          <w:szCs w:val="24"/>
          <w:lang w:val="en-US"/>
        </w:rPr>
        <w:t>的授权</w:t>
      </w:r>
      <w:r>
        <w:rPr>
          <w:rFonts w:hint="eastAsia" w:ascii="仿宋" w:hAnsi="仿宋" w:eastAsia="仿宋" w:cs="仿宋"/>
          <w:b w:val="0"/>
          <w:bCs/>
          <w:color w:val="auto"/>
          <w:sz w:val="24"/>
          <w:szCs w:val="24"/>
          <w:lang w:val="en-US" w:eastAsia="zh-CN"/>
        </w:rPr>
        <w:t>证明。</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kern w:val="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二、</w:t>
      </w:r>
      <w:r>
        <w:rPr>
          <w:rFonts w:hint="eastAsia" w:ascii="仿宋" w:hAnsi="仿宋" w:eastAsia="仿宋" w:cs="仿宋"/>
          <w:b/>
          <w:bCs/>
          <w:kern w:val="0"/>
          <w:sz w:val="24"/>
          <w:highlight w:val="none"/>
          <w:lang w:eastAsia="zh-CN"/>
        </w:rPr>
        <w:t>投标人</w:t>
      </w:r>
      <w:r>
        <w:rPr>
          <w:rFonts w:hint="eastAsia" w:ascii="仿宋" w:hAnsi="仿宋" w:eastAsia="仿宋" w:cs="仿宋"/>
          <w:b/>
          <w:bCs/>
          <w:kern w:val="0"/>
          <w:sz w:val="24"/>
          <w:highlight w:val="none"/>
        </w:rPr>
        <w:t>资格要求</w:t>
      </w:r>
    </w:p>
    <w:p>
      <w:pPr>
        <w:keepNext w:val="0"/>
        <w:keepLines w:val="0"/>
        <w:pageBreakBefore w:val="0"/>
        <w:widowControl w:val="0"/>
        <w:tabs>
          <w:tab w:val="left" w:pos="425"/>
          <w:tab w:val="left" w:pos="84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（一）</w:t>
      </w:r>
      <w:r>
        <w:rPr>
          <w:rFonts w:hint="eastAsia" w:ascii="仿宋" w:hAnsi="仿宋" w:eastAsia="仿宋" w:cs="仿宋"/>
          <w:sz w:val="24"/>
          <w:highlight w:val="none"/>
        </w:rPr>
        <w:t>投标人须为在中华人民共和国境内注册，具有独立承担民事责任能力的企业法人</w:t>
      </w:r>
      <w:r>
        <w:rPr>
          <w:rFonts w:hint="eastAsia" w:ascii="仿宋" w:hAnsi="仿宋" w:eastAsia="仿宋" w:cs="仿宋"/>
          <w:sz w:val="24"/>
          <w:highlight w:val="none"/>
          <w:lang w:eastAsia="zh-CN"/>
        </w:rPr>
        <w:t>（请提供营业执照复印件）</w:t>
      </w:r>
      <w:r>
        <w:rPr>
          <w:rFonts w:hint="eastAsia" w:ascii="仿宋" w:hAnsi="仿宋" w:eastAsia="仿宋" w:cs="仿宋"/>
          <w:sz w:val="24"/>
          <w:highlight w:val="none"/>
        </w:rPr>
        <w:t>；</w:t>
      </w:r>
    </w:p>
    <w:p>
      <w:pPr>
        <w:keepNext w:val="0"/>
        <w:keepLines w:val="0"/>
        <w:pageBreakBefore w:val="0"/>
        <w:widowControl w:val="0"/>
        <w:tabs>
          <w:tab w:val="left" w:pos="425"/>
          <w:tab w:val="left" w:pos="84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（二）</w:t>
      </w:r>
      <w:r>
        <w:rPr>
          <w:rFonts w:hint="eastAsia" w:ascii="仿宋" w:hAnsi="仿宋" w:eastAsia="仿宋" w:cs="仿宋"/>
          <w:sz w:val="24"/>
          <w:highlight w:val="none"/>
        </w:rPr>
        <w:t>信用信息：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投标人未被列入“信用中国”网站(www.creditchina.gov.cn)中的“失信被执行人”、“重大税收违法案件当事人名单”、“政府采购严重违法失信名单”记录名单内（</w:t>
      </w:r>
      <w:r>
        <w:rPr>
          <w:rFonts w:hint="eastAsia" w:ascii="仿宋" w:hAnsi="仿宋" w:eastAsia="仿宋" w:cs="仿宋"/>
          <w:color w:val="FF0000"/>
          <w:sz w:val="24"/>
          <w:highlight w:val="none"/>
        </w:rPr>
        <w:t>以招标代理于投标截止时间当天在上述网站查询结果为准，如在上述网站查询结果均显示没有相关记录，视为没有上述不良信用记录；如相关失信记录已失效，供应商须提供相关证明资料。</w:t>
      </w:r>
      <w:r>
        <w:rPr>
          <w:rFonts w:hint="eastAsia" w:ascii="仿宋" w:hAnsi="仿宋" w:eastAsia="仿宋" w:cs="仿宋"/>
          <w:sz w:val="24"/>
          <w:highlight w:val="none"/>
        </w:rPr>
        <w:t>）</w:t>
      </w:r>
      <w:r>
        <w:rPr>
          <w:rFonts w:hint="eastAsia" w:ascii="仿宋" w:hAnsi="仿宋" w:eastAsia="仿宋" w:cs="仿宋"/>
          <w:sz w:val="24"/>
          <w:highlight w:val="none"/>
          <w:lang w:eastAsia="zh-CN"/>
        </w:rPr>
        <w:t>。</w:t>
      </w:r>
    </w:p>
    <w:p>
      <w:pPr>
        <w:pStyle w:val="7"/>
        <w:keepNext w:val="0"/>
        <w:keepLines w:val="0"/>
        <w:pageBreakBefore w:val="0"/>
        <w:widowControl w:val="0"/>
        <w:numPr>
          <w:ilvl w:val="0"/>
          <w:numId w:val="2"/>
        </w:numPr>
        <w:kinsoku/>
        <w:wordWrap/>
        <w:overflowPunct/>
        <w:topLinePunct w:val="0"/>
        <w:autoSpaceDE/>
        <w:autoSpaceDN/>
        <w:bidi w:val="0"/>
        <w:adjustRightInd/>
        <w:snapToGrid/>
        <w:spacing w:after="0" w:line="36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不接受联合体投标。</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、现场考察</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现场考察（答疑会）：不组织，供应商可自行踏勘。</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四</w:t>
      </w:r>
      <w:r>
        <w:rPr>
          <w:rFonts w:hint="eastAsia" w:ascii="仿宋" w:hAnsi="仿宋" w:eastAsia="仿宋" w:cs="仿宋"/>
          <w:b/>
          <w:bCs/>
          <w:kern w:val="0"/>
          <w:sz w:val="24"/>
          <w:highlight w:val="none"/>
        </w:rPr>
        <w:t>、招标响应文件的内容（密封包装</w:t>
      </w:r>
      <w:r>
        <w:rPr>
          <w:rFonts w:hint="eastAsia" w:ascii="仿宋" w:hAnsi="仿宋" w:eastAsia="仿宋" w:cs="仿宋"/>
          <w:b/>
          <w:bCs/>
          <w:kern w:val="0"/>
          <w:sz w:val="24"/>
          <w:highlight w:val="none"/>
          <w:lang w:val="en-US" w:eastAsia="zh-CN"/>
        </w:rPr>
        <w:t>于</w:t>
      </w:r>
      <w:r>
        <w:rPr>
          <w:rFonts w:hint="eastAsia" w:ascii="仿宋" w:hAnsi="仿宋" w:eastAsia="仿宋" w:cs="仿宋"/>
          <w:b/>
          <w:bCs/>
          <w:kern w:val="0"/>
          <w:sz w:val="24"/>
          <w:highlight w:val="none"/>
        </w:rPr>
        <w:t>档案袋中）</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法定代表人证明书</w:t>
      </w:r>
      <w:r>
        <w:rPr>
          <w:rFonts w:hint="eastAsia" w:ascii="仿宋" w:hAnsi="仿宋" w:eastAsia="仿宋" w:cs="仿宋"/>
          <w:color w:val="auto"/>
          <w:kern w:val="28"/>
          <w:sz w:val="24"/>
          <w:highlight w:val="none"/>
          <w:lang w:val="en-US" w:eastAsia="zh-CN"/>
        </w:rPr>
        <w:t>和</w:t>
      </w:r>
      <w:r>
        <w:rPr>
          <w:rFonts w:hint="eastAsia" w:ascii="仿宋" w:hAnsi="仿宋" w:eastAsia="仿宋" w:cs="仿宋"/>
          <w:color w:val="auto"/>
          <w:kern w:val="28"/>
          <w:sz w:val="24"/>
          <w:highlight w:val="none"/>
        </w:rPr>
        <w:t>法定代表人授权委托书</w:t>
      </w:r>
    </w:p>
    <w:p>
      <w:pPr>
        <w:pStyle w:val="7"/>
        <w:keepNext w:val="0"/>
        <w:keepLines w:val="0"/>
        <w:pageBreakBefore w:val="0"/>
        <w:widowControl w:val="0"/>
        <w:kinsoku/>
        <w:wordWrap/>
        <w:overflowPunct/>
        <w:topLinePunct w:val="0"/>
        <w:autoSpaceDE/>
        <w:autoSpaceDN/>
        <w:bidi w:val="0"/>
        <w:spacing w:after="0" w:line="360" w:lineRule="exact"/>
        <w:textAlignment w:val="auto"/>
        <w:rPr>
          <w:rFonts w:hint="eastAsia" w:ascii="仿宋" w:hAnsi="仿宋" w:eastAsia="仿宋" w:cs="仿宋"/>
          <w:color w:val="auto"/>
          <w:kern w:val="28"/>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（二）投标承诺书</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kern w:val="28"/>
          <w:sz w:val="24"/>
          <w:highlight w:val="none"/>
          <w:lang w:val="en-US" w:eastAsia="zh-CN"/>
        </w:rPr>
      </w:pPr>
      <w:r>
        <w:rPr>
          <w:rFonts w:hint="eastAsia" w:ascii="仿宋" w:hAnsi="仿宋" w:eastAsia="仿宋" w:cs="仿宋"/>
          <w:color w:val="auto"/>
          <w:kern w:val="28"/>
          <w:sz w:val="24"/>
          <w:highlight w:val="none"/>
        </w:rPr>
        <w:t>（</w:t>
      </w:r>
      <w:r>
        <w:rPr>
          <w:rFonts w:hint="eastAsia" w:ascii="仿宋" w:hAnsi="仿宋" w:eastAsia="仿宋" w:cs="仿宋"/>
          <w:color w:val="auto"/>
          <w:kern w:val="28"/>
          <w:sz w:val="24"/>
          <w:highlight w:val="none"/>
          <w:lang w:val="en-US" w:eastAsia="zh-CN"/>
        </w:rPr>
        <w:t>三</w:t>
      </w:r>
      <w:r>
        <w:rPr>
          <w:rFonts w:hint="eastAsia" w:ascii="仿宋" w:hAnsi="仿宋" w:eastAsia="仿宋" w:cs="仿宋"/>
          <w:color w:val="auto"/>
          <w:kern w:val="28"/>
          <w:sz w:val="24"/>
          <w:highlight w:val="none"/>
        </w:rPr>
        <w:t>）</w:t>
      </w:r>
      <w:r>
        <w:rPr>
          <w:rFonts w:hint="eastAsia" w:ascii="仿宋" w:hAnsi="仿宋" w:eastAsia="仿宋" w:cs="仿宋"/>
          <w:color w:val="auto"/>
          <w:kern w:val="28"/>
          <w:sz w:val="24"/>
          <w:highlight w:val="none"/>
          <w:lang w:val="en-US" w:eastAsia="zh-CN"/>
        </w:rPr>
        <w:t>资格函件</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kern w:val="28"/>
          <w:sz w:val="24"/>
          <w:highlight w:val="none"/>
          <w:lang w:val="en-US" w:eastAsia="zh-CN"/>
        </w:rPr>
      </w:pPr>
      <w:r>
        <w:rPr>
          <w:rFonts w:hint="eastAsia" w:ascii="仿宋" w:hAnsi="仿宋" w:eastAsia="仿宋" w:cs="仿宋"/>
          <w:color w:val="auto"/>
          <w:kern w:val="28"/>
          <w:sz w:val="24"/>
          <w:highlight w:val="none"/>
          <w:lang w:val="en-US" w:eastAsia="zh-CN"/>
        </w:rPr>
        <w:t>（四）商务标书</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kern w:val="28"/>
          <w:sz w:val="24"/>
          <w:highlight w:val="none"/>
          <w:lang w:val="en-US" w:eastAsia="zh-CN"/>
        </w:rPr>
      </w:pPr>
      <w:r>
        <w:rPr>
          <w:rFonts w:hint="eastAsia" w:ascii="仿宋" w:hAnsi="仿宋" w:eastAsia="仿宋" w:cs="仿宋"/>
          <w:color w:val="auto"/>
          <w:kern w:val="28"/>
          <w:sz w:val="24"/>
          <w:highlight w:val="none"/>
          <w:lang w:val="en-US" w:eastAsia="zh-CN"/>
        </w:rPr>
        <w:t>（五）技术标书</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lang w:val="en-US" w:eastAsia="zh-CN"/>
        </w:rPr>
        <w:t>（六）经济标书</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五</w:t>
      </w: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eastAsia="zh-CN"/>
        </w:rPr>
        <w:t>投标报价截止时间及寄送地点</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color w:val="FF0000"/>
          <w:sz w:val="24"/>
          <w:highlight w:val="none"/>
          <w:u w:val="single"/>
          <w:lang w:val="en-US" w:eastAsia="zh-CN"/>
        </w:rPr>
      </w:pPr>
      <w:r>
        <w:rPr>
          <w:rFonts w:hint="eastAsia" w:ascii="仿宋" w:hAnsi="仿宋" w:eastAsia="仿宋" w:cs="仿宋"/>
          <w:sz w:val="24"/>
          <w:highlight w:val="none"/>
        </w:rPr>
        <w:t>（一）</w:t>
      </w:r>
      <w:r>
        <w:rPr>
          <w:rFonts w:hint="eastAsia" w:ascii="仿宋" w:hAnsi="仿宋" w:eastAsia="仿宋" w:cs="仿宋"/>
          <w:sz w:val="24"/>
          <w:highlight w:val="none"/>
          <w:lang w:eastAsia="zh-CN"/>
        </w:rPr>
        <w:t>投标报价截止</w:t>
      </w:r>
      <w:r>
        <w:rPr>
          <w:rFonts w:hint="eastAsia" w:ascii="仿宋" w:hAnsi="仿宋" w:eastAsia="仿宋" w:cs="仿宋"/>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上午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30</w:t>
      </w:r>
    </w:p>
    <w:p>
      <w:pPr>
        <w:pStyle w:val="20"/>
        <w:keepNext w:val="0"/>
        <w:keepLines w:val="0"/>
        <w:pageBreakBefore w:val="0"/>
        <w:widowControl w:val="0"/>
        <w:kinsoku/>
        <w:wordWrap/>
        <w:overflowPunct/>
        <w:topLinePunct w:val="0"/>
        <w:bidi w:val="0"/>
        <w:spacing w:line="360" w:lineRule="exact"/>
        <w:textAlignment w:val="auto"/>
        <w:rPr>
          <w:rFonts w:hint="eastAsia" w:eastAsia="仿宋"/>
          <w:highlight w:val="none"/>
          <w:lang w:eastAsia="zh-CN"/>
        </w:rPr>
      </w:pPr>
      <w:r>
        <w:rPr>
          <w:rFonts w:hint="eastAsia" w:ascii="仿宋" w:hAnsi="仿宋" w:eastAsia="仿宋" w:cs="仿宋"/>
          <w:sz w:val="24"/>
          <w:highlight w:val="none"/>
        </w:rPr>
        <w:t>（二）</w:t>
      </w:r>
      <w:r>
        <w:rPr>
          <w:rFonts w:hint="eastAsia" w:ascii="仿宋" w:hAnsi="仿宋" w:eastAsia="仿宋" w:cs="仿宋"/>
          <w:sz w:val="24"/>
          <w:highlight w:val="none"/>
          <w:lang w:eastAsia="zh-CN"/>
        </w:rPr>
        <w:t>投标报价寄送</w:t>
      </w:r>
      <w:r>
        <w:rPr>
          <w:rFonts w:hint="eastAsia" w:ascii="仿宋" w:hAnsi="仿宋" w:eastAsia="仿宋" w:cs="仿宋"/>
          <w:sz w:val="24"/>
          <w:highlight w:val="none"/>
        </w:rPr>
        <w:t>地点</w:t>
      </w:r>
      <w:r>
        <w:rPr>
          <w:rFonts w:hint="eastAsia" w:ascii="仿宋" w:hAnsi="仿宋" w:eastAsia="仿宋" w:cs="仿宋"/>
          <w:sz w:val="24"/>
          <w:highlight w:val="none"/>
          <w:lang w:eastAsia="zh-CN"/>
        </w:rPr>
        <w:t>：</w:t>
      </w:r>
      <w:r>
        <w:rPr>
          <w:rFonts w:hint="eastAsia" w:ascii="仿宋" w:hAnsi="仿宋" w:eastAsia="仿宋" w:cs="仿宋"/>
          <w:sz w:val="24"/>
          <w:highlight w:val="none"/>
          <w:u w:val="single"/>
        </w:rPr>
        <w:t>珠海市高栏港经济特区高栏港大道2083号汇华控股大厦7楼</w:t>
      </w:r>
      <w:r>
        <w:rPr>
          <w:rFonts w:hint="eastAsia" w:ascii="仿宋" w:hAnsi="仿宋" w:eastAsia="仿宋" w:cs="仿宋"/>
          <w:sz w:val="24"/>
          <w:highlight w:val="none"/>
          <w:u w:val="single"/>
          <w:lang w:eastAsia="zh-CN"/>
        </w:rPr>
        <w:t>招采管理</w:t>
      </w:r>
      <w:r>
        <w:rPr>
          <w:rFonts w:hint="eastAsia" w:ascii="仿宋" w:hAnsi="仿宋" w:eastAsia="仿宋" w:cs="仿宋"/>
          <w:sz w:val="24"/>
          <w:highlight w:val="none"/>
          <w:u w:val="single"/>
        </w:rPr>
        <w:t xml:space="preserve">部 </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六</w:t>
      </w:r>
      <w:r>
        <w:rPr>
          <w:rFonts w:hint="eastAsia" w:ascii="仿宋" w:hAnsi="仿宋" w:eastAsia="仿宋" w:cs="仿宋"/>
          <w:b/>
          <w:bCs/>
          <w:kern w:val="0"/>
          <w:sz w:val="24"/>
          <w:highlight w:val="none"/>
        </w:rPr>
        <w:t>、招标流程</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（一）</w:t>
      </w:r>
      <w:r>
        <w:rPr>
          <w:rFonts w:hint="eastAsia" w:ascii="仿宋" w:hAnsi="仿宋" w:eastAsia="仿宋" w:cs="仿宋"/>
          <w:sz w:val="24"/>
          <w:highlight w:val="none"/>
          <w:lang w:eastAsia="zh-CN"/>
        </w:rPr>
        <w:t>资格审查</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w:t>
      </w:r>
      <w:r>
        <w:rPr>
          <w:rFonts w:hint="eastAsia" w:ascii="仿宋" w:hAnsi="仿宋" w:eastAsia="仿宋" w:cs="仿宋"/>
          <w:sz w:val="24"/>
          <w:highlight w:val="none"/>
          <w:lang w:eastAsia="zh-CN"/>
        </w:rPr>
        <w:t>二</w:t>
      </w:r>
      <w:r>
        <w:rPr>
          <w:rFonts w:hint="eastAsia" w:ascii="仿宋" w:hAnsi="仿宋" w:eastAsia="仿宋" w:cs="仿宋"/>
          <w:sz w:val="24"/>
          <w:highlight w:val="none"/>
        </w:rPr>
        <w:t>）</w:t>
      </w:r>
      <w:r>
        <w:rPr>
          <w:rFonts w:hint="eastAsia" w:ascii="仿宋" w:hAnsi="仿宋" w:eastAsia="仿宋" w:cs="仿宋"/>
          <w:sz w:val="24"/>
          <w:highlight w:val="none"/>
          <w:lang w:eastAsia="zh-CN"/>
        </w:rPr>
        <w:t>评标</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w:t>
      </w:r>
      <w:r>
        <w:rPr>
          <w:rFonts w:hint="eastAsia" w:ascii="仿宋" w:hAnsi="仿宋" w:eastAsia="仿宋" w:cs="仿宋"/>
          <w:sz w:val="24"/>
          <w:highlight w:val="none"/>
          <w:lang w:eastAsia="zh-CN"/>
        </w:rPr>
        <w:t>三</w:t>
      </w:r>
      <w:r>
        <w:rPr>
          <w:rFonts w:hint="eastAsia" w:ascii="仿宋" w:hAnsi="仿宋" w:eastAsia="仿宋" w:cs="仿宋"/>
          <w:sz w:val="24"/>
          <w:highlight w:val="none"/>
        </w:rPr>
        <w:t>）</w:t>
      </w:r>
      <w:r>
        <w:rPr>
          <w:rFonts w:hint="eastAsia" w:ascii="仿宋" w:hAnsi="仿宋" w:eastAsia="仿宋" w:cs="仿宋"/>
          <w:sz w:val="24"/>
          <w:highlight w:val="none"/>
          <w:lang w:eastAsia="zh-CN"/>
        </w:rPr>
        <w:t>定标</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、联系方式</w:t>
      </w:r>
    </w:p>
    <w:p>
      <w:pPr>
        <w:keepNext w:val="0"/>
        <w:keepLines w:val="0"/>
        <w:pageBreakBefore w:val="0"/>
        <w:widowControl w:val="0"/>
        <w:kinsoku/>
        <w:wordWrap/>
        <w:overflowPunct/>
        <w:topLinePunct w:val="0"/>
        <w:autoSpaceDE/>
        <w:autoSpaceDN/>
        <w:bidi w:val="0"/>
        <w:adjustRightInd/>
        <w:snapToGrid/>
        <w:spacing w:line="360" w:lineRule="exact"/>
        <w:ind w:left="991" w:leftChars="472"/>
        <w:textAlignment w:val="auto"/>
        <w:rPr>
          <w:rFonts w:ascii="仿宋" w:hAnsi="仿宋" w:eastAsia="仿宋"/>
          <w:sz w:val="24"/>
          <w:highlight w:val="none"/>
        </w:rPr>
      </w:pPr>
      <w:r>
        <w:rPr>
          <w:rFonts w:hint="eastAsia" w:ascii="仿宋" w:hAnsi="仿宋" w:eastAsia="仿宋"/>
          <w:sz w:val="24"/>
          <w:highlight w:val="none"/>
          <w:lang w:val="en-US" w:eastAsia="zh-CN"/>
        </w:rPr>
        <w:t>地址：广东省珠海市金湾区高栏港大道</w:t>
      </w:r>
      <w:r>
        <w:rPr>
          <w:rFonts w:hint="eastAsia" w:ascii="仿宋" w:hAnsi="仿宋" w:eastAsia="仿宋"/>
          <w:sz w:val="24"/>
          <w:highlight w:val="none"/>
        </w:rPr>
        <w:t>珠海汇华控股集团有限公司</w:t>
      </w:r>
    </w:p>
    <w:p>
      <w:pPr>
        <w:keepNext w:val="0"/>
        <w:keepLines w:val="0"/>
        <w:pageBreakBefore w:val="0"/>
        <w:widowControl w:val="0"/>
        <w:kinsoku/>
        <w:wordWrap/>
        <w:overflowPunct/>
        <w:topLinePunct w:val="0"/>
        <w:autoSpaceDE/>
        <w:autoSpaceDN/>
        <w:bidi w:val="0"/>
        <w:adjustRightInd/>
        <w:snapToGrid/>
        <w:spacing w:line="360" w:lineRule="exact"/>
        <w:ind w:left="991" w:leftChars="472"/>
        <w:textAlignment w:val="auto"/>
        <w:rPr>
          <w:rFonts w:hint="eastAsia" w:ascii="仿宋" w:hAnsi="仿宋" w:eastAsia="仿宋"/>
          <w:sz w:val="24"/>
          <w:highlight w:val="none"/>
          <w:lang w:eastAsia="zh-CN"/>
        </w:rPr>
      </w:pPr>
      <w:r>
        <w:rPr>
          <w:rFonts w:hint="eastAsia" w:ascii="仿宋" w:hAnsi="仿宋" w:eastAsia="仿宋"/>
          <w:sz w:val="24"/>
          <w:highlight w:val="none"/>
        </w:rPr>
        <w:t>联系人：</w:t>
      </w:r>
      <w:r>
        <w:rPr>
          <w:rFonts w:hint="eastAsia" w:ascii="仿宋" w:hAnsi="仿宋" w:eastAsia="仿宋"/>
          <w:sz w:val="24"/>
          <w:highlight w:val="none"/>
          <w:lang w:eastAsia="zh-CN"/>
        </w:rPr>
        <w:t>姚工</w:t>
      </w:r>
    </w:p>
    <w:p>
      <w:pPr>
        <w:keepNext w:val="0"/>
        <w:keepLines w:val="0"/>
        <w:pageBreakBefore w:val="0"/>
        <w:widowControl w:val="0"/>
        <w:kinsoku/>
        <w:wordWrap/>
        <w:overflowPunct/>
        <w:topLinePunct w:val="0"/>
        <w:autoSpaceDE/>
        <w:autoSpaceDN/>
        <w:bidi w:val="0"/>
        <w:adjustRightInd/>
        <w:snapToGrid/>
        <w:spacing w:line="360" w:lineRule="exact"/>
        <w:ind w:left="991" w:leftChars="472"/>
        <w:textAlignment w:val="auto"/>
        <w:rPr>
          <w:rFonts w:hint="eastAsia" w:ascii="方正小标宋简体" w:hAnsi="方正小标宋简体" w:eastAsia="方正小标宋简体" w:cs="方正小标宋简体"/>
          <w:sz w:val="52"/>
          <w:szCs w:val="52"/>
          <w:highlight w:val="none"/>
          <w:lang w:val="en-US" w:eastAsia="zh-CN"/>
        </w:rPr>
      </w:pPr>
      <w:r>
        <w:rPr>
          <w:rFonts w:hint="eastAsia" w:ascii="仿宋" w:hAnsi="仿宋" w:eastAsia="仿宋"/>
          <w:sz w:val="24"/>
          <w:highlight w:val="none"/>
        </w:rPr>
        <w:t>联系电话：</w:t>
      </w:r>
      <w:r>
        <w:rPr>
          <w:rFonts w:hint="eastAsia" w:ascii="仿宋" w:hAnsi="仿宋" w:eastAsia="仿宋"/>
          <w:sz w:val="24"/>
          <w:highlight w:val="none"/>
          <w:lang w:val="en-US" w:eastAsia="zh-CN"/>
        </w:rPr>
        <w:t>13680352558</w:t>
      </w:r>
    </w:p>
    <w:p>
      <w:pPr>
        <w:rPr>
          <w:rFonts w:hint="eastAsia"/>
          <w:lang w:val="en-US" w:eastAsia="zh-CN"/>
        </w:rPr>
      </w:pPr>
    </w:p>
    <w:p>
      <w:pPr>
        <w:jc w:val="center"/>
        <w:rPr>
          <w:rFonts w:hint="eastAsia" w:ascii="方正小标宋简体" w:hAnsi="方正小标宋简体" w:eastAsia="方正小标宋简体" w:cs="方正小标宋简体"/>
          <w:sz w:val="52"/>
          <w:szCs w:val="52"/>
          <w:highlight w:val="none"/>
          <w:lang w:val="en-US" w:eastAsia="zh-CN"/>
        </w:rPr>
      </w:pPr>
    </w:p>
    <w:p>
      <w:pPr>
        <w:pStyle w:val="20"/>
        <w:rPr>
          <w:rFonts w:hint="eastAsia" w:ascii="方正小标宋简体" w:hAnsi="方正小标宋简体" w:eastAsia="方正小标宋简体" w:cs="方正小标宋简体"/>
          <w:sz w:val="52"/>
          <w:szCs w:val="52"/>
          <w:highlight w:val="none"/>
          <w:lang w:val="en-US" w:eastAsia="zh-CN"/>
        </w:rPr>
      </w:pPr>
    </w:p>
    <w:p>
      <w:pPr>
        <w:pStyle w:val="5"/>
        <w:rPr>
          <w:rFonts w:hint="eastAsia" w:ascii="方正小标宋简体" w:hAnsi="方正小标宋简体" w:eastAsia="方正小标宋简体" w:cs="方正小标宋简体"/>
          <w:sz w:val="52"/>
          <w:szCs w:val="52"/>
          <w:highlight w:val="none"/>
          <w:lang w:val="en-US" w:eastAsia="zh-CN"/>
        </w:rPr>
      </w:pPr>
    </w:p>
    <w:p>
      <w:pPr>
        <w:pStyle w:val="5"/>
        <w:rPr>
          <w:rFonts w:hint="eastAsia" w:ascii="方正小标宋简体" w:hAnsi="方正小标宋简体" w:eastAsia="方正小标宋简体" w:cs="方正小标宋简体"/>
          <w:sz w:val="52"/>
          <w:szCs w:val="52"/>
          <w:highlight w:val="none"/>
          <w:lang w:val="en-US" w:eastAsia="zh-CN"/>
        </w:rPr>
      </w:pPr>
    </w:p>
    <w:p>
      <w:pPr>
        <w:pStyle w:val="5"/>
        <w:rPr>
          <w:rFonts w:hint="eastAsia" w:ascii="方正小标宋简体" w:hAnsi="方正小标宋简体" w:eastAsia="方正小标宋简体" w:cs="方正小标宋简体"/>
          <w:sz w:val="52"/>
          <w:szCs w:val="52"/>
          <w:highlight w:val="none"/>
          <w:lang w:val="en-US" w:eastAsia="zh-CN"/>
        </w:rPr>
      </w:pPr>
    </w:p>
    <w:p>
      <w:pPr>
        <w:pStyle w:val="5"/>
        <w:ind w:left="0" w:leftChars="0" w:firstLine="0" w:firstLineChars="0"/>
        <w:rPr>
          <w:rFonts w:hint="default" w:ascii="方正小标宋简体" w:hAnsi="方正小标宋简体" w:eastAsia="方正小标宋简体" w:cs="方正小标宋简体"/>
          <w:sz w:val="52"/>
          <w:szCs w:val="52"/>
          <w:highlight w:val="none"/>
          <w:lang w:val="en-US" w:eastAsia="zh-CN"/>
        </w:rPr>
      </w:pPr>
    </w:p>
    <w:p>
      <w:pPr>
        <w:jc w:val="center"/>
        <w:rPr>
          <w:rFonts w:hint="eastAsia" w:ascii="方正小标宋简体" w:hAnsi="方正小标宋简体" w:eastAsia="方正小标宋简体" w:cs="方正小标宋简体"/>
          <w:sz w:val="52"/>
          <w:szCs w:val="52"/>
          <w:highlight w:val="none"/>
          <w:lang w:val="en-US" w:eastAsia="zh-CN"/>
        </w:rPr>
      </w:pPr>
      <w:r>
        <w:rPr>
          <w:rFonts w:hint="eastAsia" w:ascii="方正小标宋简体" w:hAnsi="方正小标宋简体" w:eastAsia="方正小标宋简体" w:cs="方正小标宋简体"/>
          <w:sz w:val="52"/>
          <w:szCs w:val="52"/>
          <w:highlight w:val="none"/>
          <w:lang w:val="en-US" w:eastAsia="zh-CN"/>
        </w:rPr>
        <w:t>第三部分 投标文件内容及评审细则</w:t>
      </w:r>
    </w:p>
    <w:p>
      <w:pPr>
        <w:spacing w:line="360" w:lineRule="auto"/>
        <w:jc w:val="left"/>
        <w:outlineLvl w:val="1"/>
        <w:rPr>
          <w:rFonts w:hint="eastAsia" w:ascii="仿宋" w:hAnsi="仿宋" w:eastAsia="仿宋" w:cs="仿宋"/>
          <w:b/>
          <w:bCs/>
          <w:sz w:val="28"/>
          <w:szCs w:val="28"/>
        </w:rPr>
      </w:pPr>
      <w:r>
        <w:rPr>
          <w:rFonts w:hint="eastAsia" w:ascii="仿宋" w:hAnsi="仿宋" w:eastAsia="仿宋" w:cs="仿宋"/>
          <w:b/>
          <w:bCs/>
          <w:sz w:val="28"/>
          <w:szCs w:val="28"/>
        </w:rPr>
        <w:t>商务标评审（</w:t>
      </w:r>
      <w:r>
        <w:rPr>
          <w:rFonts w:hint="eastAsia" w:ascii="仿宋" w:hAnsi="仿宋" w:eastAsia="仿宋" w:cs="仿宋"/>
          <w:b/>
          <w:bCs/>
          <w:sz w:val="28"/>
          <w:szCs w:val="28"/>
          <w:lang w:val="en-US" w:eastAsia="zh-CN"/>
        </w:rPr>
        <w:t>32</w:t>
      </w:r>
      <w:r>
        <w:rPr>
          <w:rFonts w:hint="eastAsia" w:ascii="仿宋" w:hAnsi="仿宋" w:eastAsia="仿宋" w:cs="仿宋"/>
          <w:b/>
          <w:bCs/>
          <w:sz w:val="28"/>
          <w:szCs w:val="28"/>
        </w:rPr>
        <w:t>分）</w:t>
      </w:r>
    </w:p>
    <w:tbl>
      <w:tblPr>
        <w:tblStyle w:val="21"/>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6"/>
        <w:gridCol w:w="680"/>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996" w:type="dxa"/>
            <w:noWrap w:val="0"/>
            <w:vAlign w:val="center"/>
          </w:tcPr>
          <w:p>
            <w:pPr>
              <w:pStyle w:val="46"/>
              <w:keepNext w:val="0"/>
              <w:keepLines w:val="0"/>
              <w:widowControl w:val="0"/>
              <w:suppressLineNumbers w:val="0"/>
              <w:pBdr>
                <w:bottom w:val="none" w:color="auto" w:sz="0" w:space="0"/>
                <w:right w:val="none" w:color="auto" w:sz="0" w:space="0"/>
              </w:pBdr>
              <w:spacing w:before="0" w:beforeAutospacing="0" w:after="0" w:afterAutospacing="0" w:line="360" w:lineRule="auto"/>
              <w:ind w:left="0" w:right="0"/>
              <w:textAlignment w:val="auto"/>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rPr>
              <w:t>评价项</w:t>
            </w:r>
          </w:p>
        </w:tc>
        <w:tc>
          <w:tcPr>
            <w:tcW w:w="68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分值</w:t>
            </w:r>
          </w:p>
        </w:tc>
        <w:tc>
          <w:tcPr>
            <w:tcW w:w="7179" w:type="dxa"/>
            <w:noWrap w:val="0"/>
            <w:vAlign w:val="center"/>
          </w:tcPr>
          <w:p>
            <w:pPr>
              <w:pStyle w:val="47"/>
              <w:keepNext w:val="0"/>
              <w:keepLines w:val="0"/>
              <w:widowControl w:val="0"/>
              <w:suppressLineNumbers w:val="0"/>
              <w:pBdr>
                <w:bottom w:val="none" w:color="auto" w:sz="0" w:space="0"/>
                <w:right w:val="none" w:color="auto" w:sz="0" w:space="0"/>
              </w:pBdr>
              <w:spacing w:before="0" w:beforeAutospacing="0" w:after="0" w:afterAutospacing="0" w:line="360" w:lineRule="auto"/>
              <w:ind w:left="0" w:right="0"/>
              <w:textAlignment w:val="auto"/>
              <w:rPr>
                <w:rFonts w:hint="eastAsia" w:ascii="仿宋" w:hAnsi="仿宋" w:eastAsia="仿宋" w:cs="仿宋"/>
                <w:kern w:val="2"/>
                <w:sz w:val="24"/>
                <w:szCs w:val="24"/>
              </w:rPr>
            </w:pPr>
            <w:r>
              <w:rPr>
                <w:rFonts w:hint="eastAsia" w:ascii="仿宋" w:hAnsi="仿宋" w:eastAsia="仿宋" w:cs="仿宋"/>
                <w:kern w:val="2"/>
                <w:sz w:val="24"/>
                <w:szCs w:val="24"/>
              </w:rPr>
              <w:t>评价说明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6" w:type="dxa"/>
            <w:noWrap w:val="0"/>
            <w:vAlign w:val="center"/>
          </w:tcPr>
          <w:p>
            <w:pPr>
              <w:pStyle w:val="47"/>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line="360" w:lineRule="auto"/>
              <w:ind w:left="0" w:right="0"/>
              <w:textAlignment w:val="auto"/>
              <w:rPr>
                <w:rFonts w:hint="eastAsia" w:ascii="仿宋" w:hAnsi="仿宋" w:eastAsia="仿宋" w:cs="仿宋"/>
                <w:kern w:val="2"/>
                <w:sz w:val="24"/>
                <w:szCs w:val="24"/>
              </w:rPr>
            </w:pPr>
            <w:r>
              <w:rPr>
                <w:rFonts w:hint="eastAsia" w:ascii="仿宋" w:hAnsi="仿宋" w:eastAsia="仿宋" w:cs="仿宋"/>
                <w:kern w:val="2"/>
                <w:sz w:val="24"/>
                <w:szCs w:val="24"/>
              </w:rPr>
              <w:t>相关业绩</w:t>
            </w:r>
          </w:p>
        </w:tc>
        <w:tc>
          <w:tcPr>
            <w:tcW w:w="680" w:type="dxa"/>
            <w:noWrap w:val="0"/>
            <w:vAlign w:val="center"/>
          </w:tcPr>
          <w:p>
            <w:pPr>
              <w:pStyle w:val="36"/>
              <w:keepNext w:val="0"/>
              <w:keepLines w:val="0"/>
              <w:suppressLineNumbers w:val="0"/>
              <w:autoSpaceDE w:val="0"/>
              <w:autoSpaceDN w:val="0"/>
              <w:spacing w:before="117" w:beforeAutospacing="0" w:after="0" w:afterAutospacing="0" w:line="360" w:lineRule="auto"/>
              <w:ind w:left="0" w:right="7"/>
              <w:jc w:val="center"/>
              <w:rPr>
                <w:rFonts w:hint="eastAsia" w:ascii="仿宋" w:hAnsi="仿宋" w:eastAsia="仿宋" w:cs="仿宋"/>
                <w:sz w:val="24"/>
                <w:lang w:val="en-US" w:eastAsia="zh-CN" w:bidi="ar-SA"/>
              </w:rPr>
            </w:pPr>
            <w:r>
              <w:rPr>
                <w:rFonts w:hint="eastAsia" w:ascii="仿宋" w:hAnsi="仿宋" w:eastAsia="仿宋" w:cs="仿宋"/>
                <w:sz w:val="24"/>
                <w:lang w:val="en-US" w:eastAsia="zh-CN" w:bidi="ar-SA"/>
              </w:rPr>
              <w:t>32</w:t>
            </w:r>
          </w:p>
        </w:tc>
        <w:tc>
          <w:tcPr>
            <w:tcW w:w="7179" w:type="dxa"/>
            <w:noWrap w:val="0"/>
            <w:vAlign w:val="top"/>
          </w:tcPr>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rPr>
            </w:pPr>
            <w:r>
              <w:rPr>
                <w:rFonts w:hint="eastAsia" w:ascii="仿宋" w:hAnsi="仿宋" w:eastAsia="仿宋" w:cs="仿宋"/>
                <w:sz w:val="24"/>
              </w:rPr>
              <w:t>根据各投标人自2020年1月1日以来（以合同签订时间为准）承接过同类合同业绩（同类业绩指合同内容中包含</w:t>
            </w:r>
            <w:r>
              <w:rPr>
                <w:rFonts w:hint="eastAsia" w:ascii="仿宋" w:hAnsi="仿宋" w:eastAsia="仿宋" w:cs="仿宋"/>
                <w:sz w:val="24"/>
                <w:lang w:val="en-US" w:eastAsia="zh-CN"/>
              </w:rPr>
              <w:t>电视或冰箱或洗衣机或热水器的采购合同</w:t>
            </w:r>
            <w:r>
              <w:rPr>
                <w:rFonts w:hint="eastAsia" w:ascii="仿宋" w:hAnsi="仿宋" w:eastAsia="仿宋" w:cs="仿宋"/>
                <w:sz w:val="24"/>
              </w:rPr>
              <w:t>）的情况进行评分，每个有效业绩得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lang w:val="en-US" w:eastAsia="zh-CN"/>
              </w:rPr>
              <w:t>每个货品（电视或冰箱或洗衣机或热水器）的采购合同最多只计两份</w:t>
            </w:r>
            <w:r>
              <w:rPr>
                <w:rFonts w:hint="eastAsia" w:ascii="仿宋" w:hAnsi="仿宋" w:eastAsia="仿宋" w:cs="仿宋"/>
                <w:sz w:val="24"/>
              </w:rPr>
              <w:t>，本项满分</w:t>
            </w:r>
            <w:r>
              <w:rPr>
                <w:rFonts w:hint="eastAsia" w:ascii="仿宋" w:hAnsi="仿宋" w:eastAsia="仿宋" w:cs="仿宋"/>
                <w:sz w:val="24"/>
                <w:lang w:val="en-US" w:eastAsia="zh-CN"/>
              </w:rPr>
              <w:t>3</w:t>
            </w:r>
            <w:r>
              <w:rPr>
                <w:rFonts w:hint="eastAsia" w:ascii="仿宋" w:hAnsi="仿宋" w:eastAsia="仿宋" w:cs="仿宋"/>
                <w:sz w:val="24"/>
              </w:rPr>
              <w:t>0分。</w:t>
            </w:r>
          </w:p>
          <w:p>
            <w:pPr>
              <w:keepNext w:val="0"/>
              <w:keepLines w:val="0"/>
              <w:suppressLineNumbers w:val="0"/>
              <w:spacing w:before="0" w:beforeAutospacing="0" w:after="0" w:afterAutospacing="0" w:line="360" w:lineRule="auto"/>
              <w:ind w:left="0" w:right="0"/>
              <w:rPr>
                <w:rFonts w:hint="eastAsia" w:ascii="仿宋" w:hAnsi="仿宋" w:eastAsia="仿宋" w:cs="仿宋"/>
                <w:lang w:val="en-US" w:eastAsia="zh-CN"/>
              </w:rPr>
            </w:pPr>
            <w:r>
              <w:rPr>
                <w:rFonts w:hint="eastAsia" w:ascii="仿宋" w:hAnsi="仿宋" w:eastAsia="仿宋" w:cs="仿宋"/>
                <w:b/>
                <w:sz w:val="24"/>
              </w:rPr>
              <w:t>注：（1）投标文件中提供项目合同关键页（至少须体现甲乙双方的名称、项目名称、招标内容、合同金额、合同签订时间等关键信息）及验收报告（无验收报告的可提供用户意见书或对应销售发票）复印件，未提供或者提供的资料不符合要求的则不得分。</w:t>
            </w:r>
          </w:p>
        </w:tc>
      </w:tr>
    </w:tbl>
    <w:p>
      <w:pPr>
        <w:spacing w:line="360" w:lineRule="auto"/>
        <w:jc w:val="left"/>
        <w:outlineLvl w:val="1"/>
        <w:rPr>
          <w:rFonts w:hint="eastAsia" w:ascii="仿宋" w:hAnsi="仿宋" w:eastAsia="仿宋" w:cs="仿宋"/>
          <w:b/>
          <w:bCs/>
          <w:sz w:val="28"/>
          <w:szCs w:val="28"/>
        </w:rPr>
      </w:pPr>
    </w:p>
    <w:p>
      <w:pPr>
        <w:spacing w:line="360" w:lineRule="auto"/>
        <w:jc w:val="left"/>
        <w:outlineLvl w:val="1"/>
        <w:rPr>
          <w:rFonts w:hint="eastAsia" w:ascii="仿宋" w:hAnsi="仿宋" w:eastAsia="仿宋" w:cs="仿宋"/>
          <w:b/>
          <w:bCs/>
          <w:sz w:val="28"/>
          <w:szCs w:val="28"/>
        </w:rPr>
      </w:pPr>
      <w:r>
        <w:rPr>
          <w:rFonts w:hint="eastAsia" w:ascii="仿宋" w:hAnsi="仿宋" w:eastAsia="仿宋" w:cs="仿宋"/>
          <w:b/>
          <w:bCs/>
          <w:sz w:val="28"/>
          <w:szCs w:val="28"/>
        </w:rPr>
        <w:t>技术标评审（</w:t>
      </w:r>
      <w:r>
        <w:rPr>
          <w:rFonts w:hint="eastAsia" w:ascii="仿宋" w:hAnsi="仿宋" w:eastAsia="仿宋" w:cs="仿宋"/>
          <w:b/>
          <w:bCs/>
          <w:sz w:val="28"/>
          <w:szCs w:val="28"/>
          <w:lang w:val="en-US" w:eastAsia="zh-CN"/>
        </w:rPr>
        <w:t>38</w:t>
      </w:r>
      <w:r>
        <w:rPr>
          <w:rFonts w:hint="eastAsia" w:ascii="仿宋" w:hAnsi="仿宋" w:eastAsia="仿宋" w:cs="仿宋"/>
          <w:b/>
          <w:bCs/>
          <w:sz w:val="28"/>
          <w:szCs w:val="28"/>
        </w:rPr>
        <w:t>分）</w:t>
      </w:r>
    </w:p>
    <w:tbl>
      <w:tblPr>
        <w:tblStyle w:val="21"/>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6"/>
        <w:gridCol w:w="680"/>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996" w:type="dxa"/>
            <w:noWrap w:val="0"/>
            <w:vAlign w:val="center"/>
          </w:tcPr>
          <w:p>
            <w:pPr>
              <w:pStyle w:val="46"/>
              <w:keepNext w:val="0"/>
              <w:keepLines w:val="0"/>
              <w:widowControl w:val="0"/>
              <w:suppressLineNumbers w:val="0"/>
              <w:pBdr>
                <w:bottom w:val="none" w:color="auto" w:sz="0" w:space="0"/>
                <w:right w:val="none" w:color="auto" w:sz="0" w:space="0"/>
              </w:pBdr>
              <w:spacing w:before="0" w:beforeAutospacing="0" w:after="0" w:afterAutospacing="0" w:line="360" w:lineRule="auto"/>
              <w:ind w:left="0" w:right="0"/>
              <w:textAlignment w:val="auto"/>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rPr>
              <w:t>评价项</w:t>
            </w:r>
          </w:p>
        </w:tc>
        <w:tc>
          <w:tcPr>
            <w:tcW w:w="68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分值</w:t>
            </w:r>
          </w:p>
        </w:tc>
        <w:tc>
          <w:tcPr>
            <w:tcW w:w="7179" w:type="dxa"/>
            <w:noWrap w:val="0"/>
            <w:vAlign w:val="center"/>
          </w:tcPr>
          <w:p>
            <w:pPr>
              <w:pStyle w:val="47"/>
              <w:keepNext w:val="0"/>
              <w:keepLines w:val="0"/>
              <w:widowControl w:val="0"/>
              <w:suppressLineNumbers w:val="0"/>
              <w:pBdr>
                <w:bottom w:val="none" w:color="auto" w:sz="0" w:space="0"/>
                <w:right w:val="none" w:color="auto" w:sz="0" w:space="0"/>
              </w:pBdr>
              <w:spacing w:before="0" w:beforeAutospacing="0" w:after="0" w:afterAutospacing="0" w:line="360" w:lineRule="auto"/>
              <w:ind w:left="0" w:right="0"/>
              <w:textAlignment w:val="auto"/>
              <w:rPr>
                <w:rFonts w:hint="eastAsia" w:ascii="仿宋" w:hAnsi="仿宋" w:eastAsia="仿宋" w:cs="仿宋"/>
                <w:kern w:val="2"/>
                <w:sz w:val="24"/>
                <w:szCs w:val="24"/>
              </w:rPr>
            </w:pPr>
            <w:r>
              <w:rPr>
                <w:rFonts w:hint="eastAsia" w:ascii="仿宋" w:hAnsi="仿宋" w:eastAsia="仿宋" w:cs="仿宋"/>
                <w:kern w:val="2"/>
                <w:sz w:val="24"/>
                <w:szCs w:val="24"/>
              </w:rPr>
              <w:t>评价说明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7" w:hRule="atLeast"/>
          <w:jc w:val="center"/>
        </w:trPr>
        <w:tc>
          <w:tcPr>
            <w:tcW w:w="996"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lang w:eastAsia="zh-CN"/>
              </w:rPr>
            </w:pPr>
            <w:r>
              <w:rPr>
                <w:rFonts w:hint="eastAsia" w:ascii="仿宋" w:hAnsi="仿宋" w:eastAsia="仿宋" w:cs="仿宋"/>
                <w:sz w:val="24"/>
                <w:szCs w:val="22"/>
              </w:rPr>
              <w:t>组织实施方案</w:t>
            </w:r>
          </w:p>
        </w:tc>
        <w:tc>
          <w:tcPr>
            <w:tcW w:w="68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20</w:t>
            </w:r>
          </w:p>
        </w:tc>
        <w:tc>
          <w:tcPr>
            <w:tcW w:w="7179" w:type="dxa"/>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color w:val="000000"/>
                <w:sz w:val="24"/>
              </w:rPr>
            </w:pPr>
            <w:r>
              <w:rPr>
                <w:rFonts w:hint="eastAsia" w:ascii="仿宋" w:hAnsi="仿宋" w:eastAsia="仿宋" w:cs="仿宋"/>
                <w:color w:val="000000"/>
                <w:sz w:val="24"/>
              </w:rPr>
              <w:t>根据各投标人提供的组织实施方案（包括但不限于项目实施中重点、难点阐述说明、实施管理的措施等）的内容、是否具有针对性、科学合理、严密完善等进行综合评审：</w:t>
            </w:r>
          </w:p>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color w:val="000000"/>
                <w:sz w:val="24"/>
              </w:rPr>
            </w:pPr>
            <w:r>
              <w:rPr>
                <w:rFonts w:hint="eastAsia" w:ascii="仿宋" w:hAnsi="仿宋" w:eastAsia="仿宋" w:cs="仿宋"/>
                <w:color w:val="000000"/>
                <w:sz w:val="24"/>
              </w:rPr>
              <w:t>方案制定详细、针对性强、科学合理且操作性强，管理措施和制度完善严密的，得</w:t>
            </w:r>
            <w:r>
              <w:rPr>
                <w:rFonts w:hint="eastAsia" w:ascii="仿宋" w:hAnsi="仿宋" w:eastAsia="仿宋" w:cs="仿宋"/>
                <w:sz w:val="24"/>
              </w:rPr>
              <w:t>[</w:t>
            </w:r>
            <w:r>
              <w:rPr>
                <w:rFonts w:hint="eastAsia" w:ascii="仿宋" w:hAnsi="仿宋" w:eastAsia="仿宋" w:cs="仿宋"/>
                <w:sz w:val="24"/>
                <w:lang w:val="en-US" w:eastAsia="zh-CN"/>
              </w:rPr>
              <w:t>20</w:t>
            </w:r>
            <w:r>
              <w:rPr>
                <w:rFonts w:hint="eastAsia" w:ascii="仿宋" w:hAnsi="仿宋" w:eastAsia="仿宋" w:cs="仿宋"/>
                <w:sz w:val="24"/>
              </w:rPr>
              <w:t>-</w:t>
            </w:r>
            <w:r>
              <w:rPr>
                <w:rFonts w:hint="eastAsia" w:ascii="仿宋" w:hAnsi="仿宋" w:eastAsia="仿宋" w:cs="仿宋"/>
                <w:sz w:val="24"/>
                <w:lang w:val="en-US" w:eastAsia="zh-CN"/>
              </w:rPr>
              <w:t>15</w:t>
            </w:r>
            <w:r>
              <w:rPr>
                <w:rFonts w:hint="eastAsia" w:ascii="仿宋" w:hAnsi="仿宋" w:eastAsia="仿宋" w:cs="仿宋"/>
                <w:sz w:val="24"/>
              </w:rPr>
              <w:t>）</w:t>
            </w:r>
            <w:r>
              <w:rPr>
                <w:rFonts w:hint="eastAsia" w:ascii="仿宋" w:hAnsi="仿宋" w:eastAsia="仿宋" w:cs="仿宋"/>
                <w:color w:val="000000"/>
                <w:sz w:val="24"/>
              </w:rPr>
              <w:t>分；</w:t>
            </w:r>
          </w:p>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color w:val="000000"/>
                <w:sz w:val="24"/>
              </w:rPr>
            </w:pPr>
            <w:r>
              <w:rPr>
                <w:rFonts w:hint="eastAsia" w:ascii="仿宋" w:hAnsi="仿宋" w:eastAsia="仿宋" w:cs="仿宋"/>
                <w:color w:val="000000"/>
                <w:sz w:val="24"/>
              </w:rPr>
              <w:t>方案制定较详细，针对性较强、基本合理、操作性一般，管理措施和制度较完善严密的，得</w:t>
            </w:r>
            <w:r>
              <w:rPr>
                <w:rFonts w:hint="eastAsia" w:ascii="仿宋" w:hAnsi="仿宋" w:eastAsia="仿宋" w:cs="仿宋"/>
                <w:sz w:val="24"/>
              </w:rPr>
              <w:t>[</w:t>
            </w:r>
            <w:r>
              <w:rPr>
                <w:rFonts w:hint="eastAsia" w:ascii="仿宋" w:hAnsi="仿宋" w:eastAsia="仿宋" w:cs="仿宋"/>
                <w:sz w:val="24"/>
                <w:lang w:val="en-US" w:eastAsia="zh-CN"/>
              </w:rPr>
              <w:t>15</w:t>
            </w: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w:t>
            </w:r>
            <w:r>
              <w:rPr>
                <w:rFonts w:hint="eastAsia" w:ascii="仿宋" w:hAnsi="仿宋" w:eastAsia="仿宋" w:cs="仿宋"/>
                <w:color w:val="000000"/>
                <w:sz w:val="24"/>
              </w:rPr>
              <w:t>分；</w:t>
            </w:r>
          </w:p>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color w:val="000000"/>
                <w:sz w:val="24"/>
              </w:rPr>
            </w:pPr>
            <w:r>
              <w:rPr>
                <w:rFonts w:hint="eastAsia" w:ascii="仿宋" w:hAnsi="仿宋" w:eastAsia="仿宋" w:cs="仿宋"/>
                <w:color w:val="000000"/>
                <w:sz w:val="24"/>
              </w:rPr>
              <w:t>方案制定一般，针对性较强、基本合理、操作性一般，管理措施和制度一般的，得</w:t>
            </w: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color w:val="000000"/>
                <w:sz w:val="24"/>
              </w:rPr>
              <w:t>分；</w:t>
            </w:r>
          </w:p>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color w:val="000000"/>
                <w:sz w:val="24"/>
              </w:rPr>
            </w:pPr>
            <w:r>
              <w:rPr>
                <w:rFonts w:hint="eastAsia" w:ascii="仿宋" w:hAnsi="仿宋" w:eastAsia="仿宋" w:cs="仿宋"/>
                <w:color w:val="000000"/>
                <w:sz w:val="24"/>
              </w:rPr>
              <w:t>方案制定差，非专门针对本项目、不科学不合理且操作性不强，管理措施和制度不完整、不严密的，得</w:t>
            </w: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-1）</w:t>
            </w:r>
            <w:r>
              <w:rPr>
                <w:rFonts w:hint="eastAsia" w:ascii="仿宋" w:hAnsi="仿宋" w:eastAsia="仿宋" w:cs="仿宋"/>
                <w:color w:val="000000"/>
                <w:sz w:val="24"/>
              </w:rPr>
              <w:t>分。</w:t>
            </w:r>
          </w:p>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color w:val="000000"/>
                <w:sz w:val="24"/>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6" w:hRule="atLeast"/>
          <w:jc w:val="center"/>
        </w:trPr>
        <w:tc>
          <w:tcPr>
            <w:tcW w:w="996"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szCs w:val="22"/>
              </w:rPr>
              <w:t>质量保证措施及售后服务方案</w:t>
            </w:r>
          </w:p>
        </w:tc>
        <w:tc>
          <w:tcPr>
            <w:tcW w:w="68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18</w:t>
            </w:r>
          </w:p>
        </w:tc>
        <w:tc>
          <w:tcPr>
            <w:tcW w:w="7179" w:type="dxa"/>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color w:val="000000"/>
                <w:sz w:val="24"/>
              </w:rPr>
            </w:pPr>
            <w:r>
              <w:rPr>
                <w:rFonts w:hint="eastAsia" w:ascii="仿宋" w:hAnsi="仿宋" w:eastAsia="仿宋" w:cs="仿宋"/>
                <w:color w:val="000000"/>
                <w:sz w:val="24"/>
              </w:rPr>
              <w:t>根据各投标人提供针对本项目的质量保证措施及售后服务方案，包括：各个环节的质量管理措施、进度安排、安全保证措施、现场管理、环保控制、质量保证及保修、售后服务等进行评审：</w:t>
            </w:r>
          </w:p>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color w:val="000000"/>
                <w:sz w:val="24"/>
              </w:rPr>
            </w:pPr>
            <w:r>
              <w:rPr>
                <w:rFonts w:hint="eastAsia" w:ascii="仿宋" w:hAnsi="仿宋" w:eastAsia="仿宋" w:cs="仿宋"/>
                <w:color w:val="000000"/>
                <w:sz w:val="24"/>
              </w:rPr>
              <w:t>质量管理措施契合项目需求，能落实到各个环节；进度安排完全合理、安全保证措施清晰明确、现场管理完全合理、售后保修长、售后服务详尽的，得</w:t>
            </w:r>
            <w:r>
              <w:rPr>
                <w:rFonts w:hint="eastAsia" w:ascii="仿宋" w:hAnsi="仿宋" w:eastAsia="仿宋" w:cs="仿宋"/>
                <w:sz w:val="24"/>
              </w:rPr>
              <w:t>[</w:t>
            </w:r>
            <w:r>
              <w:rPr>
                <w:rFonts w:hint="eastAsia" w:ascii="仿宋" w:hAnsi="仿宋" w:eastAsia="仿宋" w:cs="仿宋"/>
                <w:sz w:val="24"/>
                <w:lang w:val="en-US" w:eastAsia="zh-CN"/>
              </w:rPr>
              <w:t>18</w:t>
            </w:r>
            <w:r>
              <w:rPr>
                <w:rFonts w:hint="eastAsia" w:ascii="仿宋" w:hAnsi="仿宋" w:eastAsia="仿宋" w:cs="仿宋"/>
                <w:sz w:val="24"/>
              </w:rPr>
              <w:t>-</w:t>
            </w:r>
            <w:r>
              <w:rPr>
                <w:rFonts w:hint="eastAsia" w:ascii="仿宋" w:hAnsi="仿宋" w:eastAsia="仿宋" w:cs="仿宋"/>
                <w:sz w:val="24"/>
                <w:lang w:val="en-US" w:eastAsia="zh-CN"/>
              </w:rPr>
              <w:t>14</w:t>
            </w:r>
            <w:r>
              <w:rPr>
                <w:rFonts w:hint="eastAsia" w:ascii="仿宋" w:hAnsi="仿宋" w:eastAsia="仿宋" w:cs="仿宋"/>
                <w:sz w:val="24"/>
              </w:rPr>
              <w:t>）分</w:t>
            </w:r>
            <w:r>
              <w:rPr>
                <w:rFonts w:hint="eastAsia" w:ascii="仿宋" w:hAnsi="仿宋" w:eastAsia="仿宋" w:cs="仿宋"/>
                <w:color w:val="000000"/>
                <w:sz w:val="24"/>
              </w:rPr>
              <w:t>。</w:t>
            </w:r>
          </w:p>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color w:val="000000"/>
                <w:sz w:val="24"/>
              </w:rPr>
            </w:pPr>
            <w:r>
              <w:rPr>
                <w:rFonts w:hint="eastAsia" w:ascii="仿宋" w:hAnsi="仿宋" w:eastAsia="仿宋" w:cs="仿宋"/>
                <w:color w:val="000000"/>
                <w:sz w:val="24"/>
              </w:rPr>
              <w:t>质量管理措施比较契合项目需求，基本能落实到各个环节；进度安排基本合理、现场管理基本合理、环保控制安排基本合理的，售后保修较长、售后服务较详尽的，得</w:t>
            </w:r>
            <w:r>
              <w:rPr>
                <w:rFonts w:hint="eastAsia" w:ascii="仿宋" w:hAnsi="仿宋" w:eastAsia="仿宋" w:cs="仿宋"/>
                <w:sz w:val="24"/>
              </w:rPr>
              <w:t>[</w:t>
            </w:r>
            <w:r>
              <w:rPr>
                <w:rFonts w:hint="eastAsia" w:ascii="仿宋" w:hAnsi="仿宋" w:eastAsia="仿宋" w:cs="仿宋"/>
                <w:sz w:val="24"/>
                <w:lang w:val="en-US" w:eastAsia="zh-CN"/>
              </w:rPr>
              <w:t>14</w:t>
            </w: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）分</w:t>
            </w:r>
            <w:r>
              <w:rPr>
                <w:rFonts w:hint="eastAsia" w:ascii="仿宋" w:hAnsi="仿宋" w:eastAsia="仿宋" w:cs="仿宋"/>
                <w:color w:val="000000"/>
                <w:sz w:val="24"/>
              </w:rPr>
              <w:t>。</w:t>
            </w:r>
          </w:p>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color w:val="000000"/>
                <w:sz w:val="24"/>
              </w:rPr>
            </w:pPr>
            <w:r>
              <w:rPr>
                <w:rFonts w:hint="eastAsia" w:ascii="仿宋" w:hAnsi="仿宋" w:eastAsia="仿宋" w:cs="仿宋"/>
                <w:color w:val="000000"/>
                <w:sz w:val="24"/>
              </w:rPr>
              <w:t>质量管理措施未能落实到各个环节、进度安排</w:t>
            </w:r>
            <w:r>
              <w:rPr>
                <w:rFonts w:hint="eastAsia" w:ascii="仿宋" w:hAnsi="仿宋" w:eastAsia="仿宋" w:cs="仿宋"/>
                <w:color w:val="000000"/>
                <w:sz w:val="24"/>
                <w:lang w:val="en-US" w:eastAsia="zh-CN"/>
              </w:rPr>
              <w:t>一般</w:t>
            </w:r>
            <w:r>
              <w:rPr>
                <w:rFonts w:hint="eastAsia" w:ascii="仿宋" w:hAnsi="仿宋" w:eastAsia="仿宋" w:cs="仿宋"/>
                <w:color w:val="000000"/>
                <w:sz w:val="24"/>
              </w:rPr>
              <w:t>、安全保证措施模糊、现场管理不合理、售后保修、售后服务一般的，得</w:t>
            </w: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color w:val="000000"/>
                <w:sz w:val="24"/>
              </w:rPr>
              <w:t>。</w:t>
            </w:r>
          </w:p>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rPr>
            </w:pPr>
            <w:r>
              <w:rPr>
                <w:rFonts w:hint="eastAsia" w:ascii="仿宋" w:hAnsi="仿宋" w:eastAsia="仿宋" w:cs="仿宋"/>
                <w:color w:val="000000"/>
                <w:sz w:val="24"/>
              </w:rPr>
              <w:t>量管理措施未能落实到各个环节、进度安排</w:t>
            </w:r>
            <w:r>
              <w:rPr>
                <w:rFonts w:hint="eastAsia" w:ascii="仿宋" w:hAnsi="仿宋" w:eastAsia="仿宋" w:cs="仿宋"/>
                <w:color w:val="000000"/>
                <w:sz w:val="24"/>
                <w:lang w:val="en-US" w:eastAsia="zh-CN"/>
              </w:rPr>
              <w:t>差</w:t>
            </w:r>
            <w:r>
              <w:rPr>
                <w:rFonts w:hint="eastAsia" w:ascii="仿宋" w:hAnsi="仿宋" w:eastAsia="仿宋" w:cs="仿宋"/>
                <w:color w:val="000000"/>
                <w:sz w:val="24"/>
              </w:rPr>
              <w:t>、安全保证措施</w:t>
            </w:r>
            <w:r>
              <w:rPr>
                <w:rFonts w:hint="eastAsia" w:ascii="仿宋" w:hAnsi="仿宋" w:eastAsia="仿宋" w:cs="仿宋"/>
                <w:color w:val="000000"/>
                <w:sz w:val="24"/>
                <w:lang w:val="en-US" w:eastAsia="zh-CN"/>
              </w:rPr>
              <w:t>差</w:t>
            </w:r>
            <w:r>
              <w:rPr>
                <w:rFonts w:hint="eastAsia" w:ascii="仿宋" w:hAnsi="仿宋" w:eastAsia="仿宋" w:cs="仿宋"/>
                <w:color w:val="000000"/>
                <w:sz w:val="24"/>
              </w:rPr>
              <w:t>、现场管理不合理、售后保修、售后服务</w:t>
            </w:r>
            <w:r>
              <w:rPr>
                <w:rFonts w:hint="eastAsia" w:ascii="仿宋" w:hAnsi="仿宋" w:eastAsia="仿宋" w:cs="仿宋"/>
                <w:color w:val="000000"/>
                <w:sz w:val="24"/>
                <w:lang w:val="en-US" w:eastAsia="zh-CN"/>
              </w:rPr>
              <w:t>差</w:t>
            </w:r>
            <w:r>
              <w:rPr>
                <w:rFonts w:hint="eastAsia" w:ascii="仿宋" w:hAnsi="仿宋" w:eastAsia="仿宋" w:cs="仿宋"/>
                <w:color w:val="000000"/>
                <w:sz w:val="24"/>
              </w:rPr>
              <w:t>的，得</w:t>
            </w: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96"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68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lang w:val="en-US" w:eastAsia="zh-CN"/>
              </w:rPr>
            </w:pPr>
          </w:p>
        </w:tc>
        <w:tc>
          <w:tcPr>
            <w:tcW w:w="7179"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r>
    </w:tbl>
    <w:p>
      <w:pPr>
        <w:pStyle w:val="7"/>
        <w:jc w:val="both"/>
        <w:rPr>
          <w:rStyle w:val="24"/>
          <w:rFonts w:hint="eastAsia" w:ascii="仿宋" w:hAnsi="仿宋" w:eastAsia="仿宋" w:cs="仿宋"/>
          <w:b w:val="0"/>
          <w:bCs w:val="0"/>
          <w:color w:val="auto"/>
          <w:sz w:val="28"/>
          <w:szCs w:val="28"/>
          <w:highlight w:val="none"/>
        </w:rPr>
      </w:pPr>
    </w:p>
    <w:p>
      <w:pPr>
        <w:rPr>
          <w:rStyle w:val="24"/>
          <w:rFonts w:hint="eastAsia" w:ascii="仿宋" w:hAnsi="仿宋" w:eastAsia="仿宋" w:cs="仿宋"/>
          <w:b w:val="0"/>
          <w:bCs w:val="0"/>
          <w:color w:val="auto"/>
          <w:sz w:val="28"/>
          <w:szCs w:val="28"/>
          <w:highlight w:val="none"/>
        </w:rPr>
      </w:pPr>
    </w:p>
    <w:p>
      <w:pPr>
        <w:spacing w:line="360" w:lineRule="auto"/>
        <w:jc w:val="left"/>
        <w:outlineLvl w:val="1"/>
        <w:rPr>
          <w:rFonts w:hint="eastAsia" w:ascii="仿宋" w:hAnsi="仿宋" w:eastAsia="仿宋" w:cs="仿宋"/>
          <w:b/>
          <w:bCs/>
          <w:sz w:val="28"/>
          <w:szCs w:val="28"/>
        </w:rPr>
      </w:pPr>
      <w:r>
        <w:rPr>
          <w:rFonts w:hint="eastAsia" w:ascii="仿宋" w:hAnsi="仿宋" w:eastAsia="仿宋" w:cs="仿宋"/>
          <w:b/>
          <w:bCs/>
          <w:sz w:val="28"/>
          <w:szCs w:val="28"/>
        </w:rPr>
        <w:t>经济标评审（</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0分）</w:t>
      </w:r>
    </w:p>
    <w:tbl>
      <w:tblPr>
        <w:tblStyle w:val="21"/>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6"/>
        <w:gridCol w:w="680"/>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996" w:type="dxa"/>
            <w:noWrap w:val="0"/>
            <w:vAlign w:val="center"/>
          </w:tcPr>
          <w:p>
            <w:pPr>
              <w:pStyle w:val="46"/>
              <w:keepNext w:val="0"/>
              <w:keepLines w:val="0"/>
              <w:widowControl w:val="0"/>
              <w:suppressLineNumbers w:val="0"/>
              <w:pBdr>
                <w:bottom w:val="none" w:color="auto" w:sz="0" w:space="0"/>
                <w:right w:val="none" w:color="auto" w:sz="0" w:space="0"/>
              </w:pBdr>
              <w:spacing w:before="0" w:beforeAutospacing="0" w:after="0" w:afterAutospacing="0" w:line="360" w:lineRule="auto"/>
              <w:ind w:left="0" w:right="0"/>
              <w:textAlignment w:val="auto"/>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rPr>
              <w:t>评价项</w:t>
            </w:r>
          </w:p>
        </w:tc>
        <w:tc>
          <w:tcPr>
            <w:tcW w:w="68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分值</w:t>
            </w:r>
          </w:p>
        </w:tc>
        <w:tc>
          <w:tcPr>
            <w:tcW w:w="7179" w:type="dxa"/>
            <w:noWrap w:val="0"/>
            <w:vAlign w:val="center"/>
          </w:tcPr>
          <w:p>
            <w:pPr>
              <w:pStyle w:val="47"/>
              <w:keepNext w:val="0"/>
              <w:keepLines w:val="0"/>
              <w:widowControl w:val="0"/>
              <w:suppressLineNumbers w:val="0"/>
              <w:pBdr>
                <w:bottom w:val="none" w:color="auto" w:sz="0" w:space="0"/>
                <w:right w:val="none" w:color="auto" w:sz="0" w:space="0"/>
              </w:pBdr>
              <w:spacing w:before="0" w:beforeAutospacing="0" w:after="0" w:afterAutospacing="0" w:line="360" w:lineRule="auto"/>
              <w:ind w:left="0" w:right="0"/>
              <w:textAlignment w:val="auto"/>
              <w:rPr>
                <w:rFonts w:hint="eastAsia" w:ascii="仿宋" w:hAnsi="仿宋" w:eastAsia="仿宋" w:cs="仿宋"/>
                <w:kern w:val="2"/>
                <w:sz w:val="24"/>
                <w:szCs w:val="24"/>
              </w:rPr>
            </w:pPr>
            <w:r>
              <w:rPr>
                <w:rFonts w:hint="eastAsia" w:ascii="仿宋" w:hAnsi="仿宋" w:eastAsia="仿宋" w:cs="仿宋"/>
                <w:kern w:val="2"/>
                <w:sz w:val="24"/>
                <w:szCs w:val="24"/>
              </w:rPr>
              <w:t>评价说明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2" w:hRule="atLeast"/>
          <w:jc w:val="center"/>
        </w:trPr>
        <w:tc>
          <w:tcPr>
            <w:tcW w:w="996"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价格</w:t>
            </w:r>
          </w:p>
        </w:tc>
        <w:tc>
          <w:tcPr>
            <w:tcW w:w="68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lang w:val="en-US" w:eastAsia="zh-CN"/>
              </w:rPr>
              <w:t>30</w:t>
            </w:r>
            <w:r>
              <w:rPr>
                <w:rFonts w:hint="eastAsia" w:ascii="仿宋" w:hAnsi="仿宋" w:eastAsia="仿宋" w:cs="仿宋"/>
                <w:sz w:val="24"/>
              </w:rPr>
              <w:t>分</w:t>
            </w:r>
          </w:p>
        </w:tc>
        <w:tc>
          <w:tcPr>
            <w:tcW w:w="717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■评分细则：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投标报价得分=(评标基准价/评标价)×</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0%×100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atLeast"/>
              <w:ind w:left="0" w:right="0"/>
              <w:jc w:val="both"/>
              <w:textAlignment w:val="auto"/>
              <w:rPr>
                <w:rFonts w:hint="eastAsia" w:ascii="仿宋" w:hAnsi="仿宋" w:eastAsia="仿宋" w:cs="仿宋"/>
                <w:sz w:val="24"/>
              </w:rPr>
            </w:pPr>
            <w:r>
              <w:rPr>
                <w:rFonts w:hint="eastAsia" w:ascii="仿宋" w:hAnsi="仿宋" w:eastAsia="仿宋" w:cs="仿宋"/>
                <w:color w:val="auto"/>
                <w:kern w:val="0"/>
                <w:sz w:val="24"/>
              </w:rPr>
              <w:t>说明：满足招标文件要求且投标价格最低的有效投标报价为评标基准价，其价格分为满分（</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0分）。</w:t>
            </w:r>
          </w:p>
        </w:tc>
      </w:tr>
    </w:tbl>
    <w:p>
      <w:pPr>
        <w:pStyle w:val="20"/>
        <w:ind w:left="0" w:leftChars="0" w:firstLine="0" w:firstLineChars="0"/>
        <w:rPr>
          <w:rFonts w:hint="eastAsia" w:ascii="仿宋" w:hAnsi="仿宋" w:eastAsia="仿宋" w:cs="仿宋"/>
        </w:rPr>
      </w:pPr>
    </w:p>
    <w:p>
      <w:pPr>
        <w:jc w:val="center"/>
        <w:rPr>
          <w:rFonts w:hint="eastAsia" w:ascii="仿宋" w:hAnsi="仿宋" w:eastAsia="仿宋" w:cs="仿宋"/>
          <w:sz w:val="52"/>
          <w:szCs w:val="52"/>
          <w:highlight w:val="none"/>
          <w:lang w:val="en-US" w:eastAsia="zh-CN"/>
        </w:rPr>
      </w:pPr>
    </w:p>
    <w:p>
      <w:pPr>
        <w:jc w:val="center"/>
        <w:rPr>
          <w:rFonts w:hint="eastAsia" w:ascii="仿宋" w:hAnsi="仿宋" w:eastAsia="仿宋" w:cs="仿宋"/>
          <w:sz w:val="52"/>
          <w:szCs w:val="52"/>
          <w:highlight w:val="none"/>
          <w:lang w:val="en-US" w:eastAsia="zh-CN"/>
        </w:rPr>
      </w:pPr>
    </w:p>
    <w:p>
      <w:pPr>
        <w:jc w:val="both"/>
        <w:rPr>
          <w:rFonts w:hint="default" w:ascii="方正小标宋简体" w:hAnsi="方正小标宋简体" w:eastAsia="方正小标宋简体" w:cs="方正小标宋简体"/>
          <w:sz w:val="52"/>
          <w:szCs w:val="52"/>
          <w:highlight w:val="none"/>
          <w:lang w:val="en-US" w:eastAsia="zh-CN"/>
        </w:rPr>
      </w:pPr>
    </w:p>
    <w:p>
      <w:pPr>
        <w:jc w:val="center"/>
        <w:rPr>
          <w:rFonts w:hint="default" w:ascii="方正小标宋简体" w:hAnsi="方正小标宋简体" w:eastAsia="方正小标宋简体" w:cs="方正小标宋简体"/>
          <w:sz w:val="52"/>
          <w:szCs w:val="52"/>
          <w:highlight w:val="none"/>
          <w:lang w:val="en-US" w:eastAsia="zh-CN"/>
        </w:rPr>
      </w:pPr>
    </w:p>
    <w:p>
      <w:pPr>
        <w:jc w:val="center"/>
        <w:rPr>
          <w:rFonts w:hint="eastAsia" w:ascii="方正小标宋简体" w:hAnsi="方正小标宋简体" w:eastAsia="方正小标宋简体" w:cs="方正小标宋简体"/>
          <w:sz w:val="52"/>
          <w:szCs w:val="52"/>
          <w:highlight w:val="none"/>
          <w:lang w:val="en-US" w:eastAsia="zh-CN"/>
        </w:rPr>
      </w:pPr>
      <w:r>
        <w:rPr>
          <w:rFonts w:hint="default" w:ascii="方正小标宋简体" w:hAnsi="方正小标宋简体" w:eastAsia="方正小标宋简体" w:cs="方正小标宋简体"/>
          <w:sz w:val="52"/>
          <w:szCs w:val="52"/>
          <w:highlight w:val="none"/>
          <w:lang w:val="en-US" w:eastAsia="zh-CN"/>
        </w:rPr>
        <w:t>第</w:t>
      </w:r>
      <w:r>
        <w:rPr>
          <w:rFonts w:hint="eastAsia" w:ascii="方正小标宋简体" w:hAnsi="方正小标宋简体" w:eastAsia="方正小标宋简体" w:cs="方正小标宋简体"/>
          <w:sz w:val="52"/>
          <w:szCs w:val="52"/>
          <w:highlight w:val="none"/>
          <w:lang w:val="en-US" w:eastAsia="zh-CN"/>
        </w:rPr>
        <w:t>五</w:t>
      </w:r>
      <w:r>
        <w:rPr>
          <w:rFonts w:hint="default" w:ascii="方正小标宋简体" w:hAnsi="方正小标宋简体" w:eastAsia="方正小标宋简体" w:cs="方正小标宋简体"/>
          <w:sz w:val="52"/>
          <w:szCs w:val="52"/>
          <w:highlight w:val="none"/>
          <w:lang w:val="en-US" w:eastAsia="zh-CN"/>
        </w:rPr>
        <w:t xml:space="preserve">部分 </w:t>
      </w:r>
      <w:r>
        <w:rPr>
          <w:rFonts w:hint="eastAsia" w:ascii="方正小标宋简体" w:hAnsi="方正小标宋简体" w:eastAsia="方正小标宋简体" w:cs="方正小标宋简体"/>
          <w:sz w:val="52"/>
          <w:szCs w:val="52"/>
          <w:highlight w:val="none"/>
          <w:lang w:val="en-US" w:eastAsia="zh-CN"/>
        </w:rPr>
        <w:t>格式文件</w:t>
      </w:r>
    </w:p>
    <w:p>
      <w:pPr>
        <w:pStyle w:val="7"/>
        <w:rPr>
          <w:rStyle w:val="24"/>
          <w:rFonts w:hint="eastAsia" w:ascii="仿宋" w:hAnsi="仿宋" w:eastAsia="仿宋" w:cs="仿宋"/>
          <w:b w:val="0"/>
          <w:bCs w:val="0"/>
          <w:color w:val="auto"/>
          <w:sz w:val="28"/>
          <w:szCs w:val="28"/>
          <w:highlight w:val="none"/>
        </w:rPr>
      </w:pPr>
    </w:p>
    <w:p>
      <w:pPr>
        <w:pStyle w:val="7"/>
        <w:jc w:val="center"/>
        <w:rPr>
          <w:rStyle w:val="24"/>
          <w:rFonts w:hint="eastAsia" w:ascii="仿宋" w:hAnsi="仿宋" w:eastAsia="仿宋" w:cs="仿宋"/>
          <w:b w:val="0"/>
          <w:color w:val="auto"/>
          <w:sz w:val="32"/>
          <w:szCs w:val="32"/>
          <w:highlight w:val="none"/>
        </w:rPr>
      </w:pPr>
      <w:r>
        <w:rPr>
          <w:rStyle w:val="24"/>
          <w:rFonts w:hint="eastAsia" w:ascii="仿宋" w:hAnsi="仿宋" w:eastAsia="仿宋" w:cs="仿宋"/>
          <w:b w:val="0"/>
          <w:color w:val="auto"/>
          <w:sz w:val="32"/>
          <w:szCs w:val="32"/>
          <w:highlight w:val="none"/>
        </w:rPr>
        <w:t>投标人应当遵守的投标文件格式</w:t>
      </w:r>
    </w:p>
    <w:p>
      <w:pPr>
        <w:pStyle w:val="7"/>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kern w:val="0"/>
          <w:sz w:val="24"/>
          <w:highlight w:val="none"/>
        </w:rPr>
      </w:pPr>
    </w:p>
    <w:p>
      <w:pPr>
        <w:pStyle w:val="7"/>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投标文件包装封面。</w:t>
      </w:r>
    </w:p>
    <w:p>
      <w:pPr>
        <w:pStyle w:val="7"/>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标书封面。</w:t>
      </w:r>
    </w:p>
    <w:p>
      <w:pPr>
        <w:pStyle w:val="7"/>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7"/>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p>
    <w:p>
      <w:pPr>
        <w:pStyle w:val="7"/>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投标承诺书。</w:t>
      </w:r>
    </w:p>
    <w:p>
      <w:pPr>
        <w:pStyle w:val="7"/>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报价单</w:t>
      </w:r>
      <w:r>
        <w:rPr>
          <w:rFonts w:hint="eastAsia" w:ascii="仿宋" w:hAnsi="仿宋" w:eastAsia="仿宋" w:cs="仿宋"/>
          <w:color w:val="auto"/>
          <w:kern w:val="0"/>
          <w:sz w:val="24"/>
          <w:highlight w:val="none"/>
        </w:rPr>
        <w:t>。</w:t>
      </w:r>
    </w:p>
    <w:p>
      <w:pPr>
        <w:pStyle w:val="7"/>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投标文件包装封面。</w:t>
      </w:r>
    </w:p>
    <w:p>
      <w:pPr>
        <w:pStyle w:val="7"/>
        <w:spacing w:line="240" w:lineRule="auto"/>
        <w:jc w:val="both"/>
        <w:rPr>
          <w:rFonts w:hint="eastAsia" w:ascii="仿宋" w:hAnsi="仿宋" w:eastAsia="仿宋" w:cs="仿宋"/>
          <w:color w:val="auto"/>
          <w:sz w:val="32"/>
          <w:szCs w:val="32"/>
          <w:highlight w:val="none"/>
        </w:rPr>
      </w:pPr>
    </w:p>
    <w:p>
      <w:pPr>
        <w:pStyle w:val="7"/>
        <w:rPr>
          <w:rFonts w:hint="eastAsia" w:ascii="仿宋" w:hAnsi="仿宋" w:eastAsia="仿宋" w:cs="仿宋"/>
          <w:color w:val="auto"/>
          <w:sz w:val="28"/>
          <w:szCs w:val="28"/>
          <w:highlight w:val="none"/>
        </w:rPr>
      </w:pPr>
    </w:p>
    <w:p>
      <w:pPr>
        <w:pStyle w:val="7"/>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  时  分之前不得开启。</w:t>
      </w:r>
    </w:p>
    <w:p>
      <w:pPr>
        <w:pStyle w:val="7"/>
        <w:rPr>
          <w:rFonts w:hint="eastAsia" w:ascii="仿宋" w:hAnsi="仿宋" w:eastAsia="仿宋" w:cs="仿宋"/>
          <w:color w:val="auto"/>
          <w:sz w:val="28"/>
          <w:szCs w:val="28"/>
          <w:highlight w:val="none"/>
        </w:rPr>
      </w:pPr>
    </w:p>
    <w:p>
      <w:pPr>
        <w:pStyle w:val="7"/>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包装内容：□资格函件□技术标书□业绩标书□经济标书□</w:t>
      </w:r>
      <w:r>
        <w:rPr>
          <w:rFonts w:hint="eastAsia" w:ascii="仿宋" w:hAnsi="仿宋" w:eastAsia="仿宋" w:cs="仿宋"/>
          <w:color w:val="auto"/>
          <w:sz w:val="28"/>
          <w:szCs w:val="28"/>
          <w:highlight w:val="none"/>
          <w:lang w:eastAsia="zh-CN"/>
        </w:rPr>
        <w:t>电子标书</w:t>
      </w:r>
    </w:p>
    <w:p>
      <w:pPr>
        <w:pStyle w:val="7"/>
        <w:rPr>
          <w:rFonts w:hint="eastAsia" w:ascii="仿宋" w:hAnsi="仿宋" w:eastAsia="仿宋" w:cs="仿宋"/>
          <w:color w:val="auto"/>
          <w:sz w:val="28"/>
          <w:szCs w:val="28"/>
          <w:highlight w:val="none"/>
        </w:rPr>
      </w:pPr>
    </w:p>
    <w:p>
      <w:pPr>
        <w:pStyle w:val="7"/>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 xml:space="preserve">                                                          </w:t>
      </w:r>
    </w:p>
    <w:p>
      <w:pPr>
        <w:pStyle w:val="7"/>
        <w:rPr>
          <w:rFonts w:hint="eastAsia" w:ascii="仿宋" w:hAnsi="仿宋" w:eastAsia="仿宋" w:cs="仿宋"/>
          <w:color w:val="auto"/>
          <w:sz w:val="28"/>
          <w:szCs w:val="28"/>
          <w:highlight w:val="none"/>
        </w:rPr>
      </w:pPr>
    </w:p>
    <w:p>
      <w:pPr>
        <w:pStyle w:val="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投标人（法人公章）：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pStyle w:val="7"/>
        <w:spacing w:line="240" w:lineRule="auto"/>
        <w:rPr>
          <w:rStyle w:val="24"/>
          <w:rFonts w:hint="eastAsia" w:ascii="仿宋" w:hAnsi="仿宋" w:eastAsia="仿宋" w:cs="仿宋"/>
          <w:b w:val="0"/>
          <w:color w:val="auto"/>
          <w:sz w:val="32"/>
          <w:highlight w:val="none"/>
        </w:rPr>
      </w:pPr>
    </w:p>
    <w:p>
      <w:pPr>
        <w:pStyle w:val="7"/>
        <w:spacing w:line="240" w:lineRule="auto"/>
        <w:rPr>
          <w:rFonts w:hint="eastAsia" w:ascii="仿宋" w:hAnsi="仿宋" w:eastAsia="仿宋" w:cs="仿宋"/>
          <w:color w:val="auto"/>
          <w:highlight w:val="none"/>
          <w:u w:val="single"/>
        </w:rPr>
      </w:pPr>
      <w:r>
        <w:rPr>
          <w:rStyle w:val="24"/>
          <w:rFonts w:hint="eastAsia" w:ascii="仿宋" w:hAnsi="仿宋" w:eastAsia="仿宋" w:cs="仿宋"/>
          <w:b w:val="0"/>
          <w:color w:val="auto"/>
          <w:sz w:val="28"/>
          <w:szCs w:val="28"/>
          <w:highlight w:val="none"/>
        </w:rPr>
        <w:t>法定代表人（签名或签章）：</w:t>
      </w:r>
      <w:r>
        <w:rPr>
          <w:rStyle w:val="24"/>
          <w:rFonts w:hint="eastAsia" w:ascii="仿宋" w:hAnsi="仿宋" w:eastAsia="仿宋" w:cs="仿宋"/>
          <w:b w:val="0"/>
          <w:color w:val="auto"/>
          <w:sz w:val="28"/>
          <w:szCs w:val="28"/>
          <w:highlight w:val="none"/>
          <w:u w:val="single"/>
        </w:rPr>
        <w:t xml:space="preserve">                                          </w:t>
      </w:r>
    </w:p>
    <w:p>
      <w:pPr>
        <w:pStyle w:val="7"/>
        <w:spacing w:line="240" w:lineRule="auto"/>
        <w:rPr>
          <w:rStyle w:val="24"/>
          <w:rFonts w:hint="eastAsia" w:ascii="仿宋" w:hAnsi="仿宋" w:eastAsia="仿宋" w:cs="仿宋"/>
          <w:b w:val="0"/>
          <w:color w:val="auto"/>
          <w:sz w:val="28"/>
          <w:szCs w:val="28"/>
          <w:highlight w:val="none"/>
        </w:rPr>
      </w:pPr>
    </w:p>
    <w:p>
      <w:pPr>
        <w:pStyle w:val="7"/>
        <w:spacing w:line="240" w:lineRule="auto"/>
        <w:rPr>
          <w:rFonts w:hint="eastAsia" w:ascii="仿宋" w:hAnsi="仿宋" w:eastAsia="仿宋" w:cs="仿宋"/>
          <w:color w:val="auto"/>
          <w:highlight w:val="none"/>
          <w:u w:val="single"/>
        </w:rPr>
      </w:pPr>
      <w:r>
        <w:rPr>
          <w:rStyle w:val="24"/>
          <w:rFonts w:hint="eastAsia" w:ascii="仿宋" w:hAnsi="仿宋" w:eastAsia="仿宋" w:cs="仿宋"/>
          <w:b w:val="0"/>
          <w:color w:val="auto"/>
          <w:sz w:val="28"/>
          <w:szCs w:val="28"/>
          <w:highlight w:val="none"/>
        </w:rPr>
        <w:t>被授权委托人（签名或签章）：</w:t>
      </w:r>
      <w:r>
        <w:rPr>
          <w:rStyle w:val="24"/>
          <w:rFonts w:hint="eastAsia" w:ascii="仿宋" w:hAnsi="仿宋" w:eastAsia="仿宋" w:cs="仿宋"/>
          <w:b w:val="0"/>
          <w:color w:val="auto"/>
          <w:sz w:val="28"/>
          <w:szCs w:val="28"/>
          <w:highlight w:val="none"/>
          <w:u w:val="single"/>
        </w:rPr>
        <w:t xml:space="preserve">                                        </w:t>
      </w:r>
    </w:p>
    <w:p>
      <w:pPr>
        <w:pStyle w:val="7"/>
        <w:spacing w:line="240" w:lineRule="auto"/>
        <w:rPr>
          <w:rFonts w:hint="eastAsia" w:ascii="仿宋" w:hAnsi="仿宋" w:eastAsia="仿宋" w:cs="仿宋"/>
          <w:color w:val="auto"/>
          <w:sz w:val="28"/>
          <w:szCs w:val="28"/>
          <w:highlight w:val="none"/>
        </w:rPr>
      </w:pPr>
    </w:p>
    <w:p>
      <w:pPr>
        <w:pStyle w:val="7"/>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通讯地址：</w:t>
      </w:r>
      <w:r>
        <w:rPr>
          <w:rFonts w:hint="eastAsia" w:ascii="仿宋" w:hAnsi="仿宋" w:eastAsia="仿宋" w:cs="仿宋"/>
          <w:color w:val="auto"/>
          <w:sz w:val="28"/>
          <w:szCs w:val="28"/>
          <w:highlight w:val="none"/>
          <w:u w:val="single"/>
        </w:rPr>
        <w:t xml:space="preserve">                                                          </w:t>
      </w:r>
    </w:p>
    <w:p>
      <w:pPr>
        <w:pStyle w:val="7"/>
        <w:rPr>
          <w:rFonts w:hint="eastAsia" w:ascii="仿宋" w:hAnsi="仿宋" w:eastAsia="仿宋" w:cs="仿宋"/>
          <w:color w:val="auto"/>
          <w:sz w:val="28"/>
          <w:szCs w:val="28"/>
          <w:highlight w:val="none"/>
        </w:rPr>
      </w:pPr>
    </w:p>
    <w:p>
      <w:pPr>
        <w:pStyle w:val="7"/>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p>
    <w:p>
      <w:pPr>
        <w:pStyle w:val="7"/>
        <w:rPr>
          <w:rFonts w:hint="eastAsia" w:ascii="仿宋" w:hAnsi="仿宋" w:eastAsia="仿宋" w:cs="仿宋"/>
          <w:color w:val="auto"/>
          <w:sz w:val="28"/>
          <w:szCs w:val="28"/>
          <w:highlight w:val="none"/>
          <w:u w:val="thick"/>
        </w:rPr>
      </w:pPr>
    </w:p>
    <w:p>
      <w:pPr>
        <w:pStyle w:val="7"/>
        <w:spacing w:line="480" w:lineRule="auto"/>
        <w:rPr>
          <w:rStyle w:val="24"/>
          <w:rFonts w:hint="eastAsia" w:ascii="仿宋" w:hAnsi="仿宋" w:eastAsia="仿宋" w:cs="仿宋"/>
          <w:b w:val="0"/>
          <w:color w:val="auto"/>
          <w:sz w:val="28"/>
          <w:highlight w:val="none"/>
          <w:u w:val="single"/>
        </w:rPr>
      </w:pPr>
      <w:r>
        <w:rPr>
          <w:rStyle w:val="24"/>
          <w:rFonts w:hint="eastAsia" w:ascii="仿宋" w:hAnsi="仿宋" w:eastAsia="仿宋" w:cs="仿宋"/>
          <w:b w:val="0"/>
          <w:color w:val="auto"/>
          <w:sz w:val="28"/>
          <w:highlight w:val="none"/>
        </w:rPr>
        <w:t>联系人：</w:t>
      </w:r>
      <w:r>
        <w:rPr>
          <w:rStyle w:val="24"/>
          <w:rFonts w:hint="eastAsia" w:ascii="仿宋" w:hAnsi="仿宋" w:eastAsia="仿宋" w:cs="仿宋"/>
          <w:b w:val="0"/>
          <w:color w:val="auto"/>
          <w:sz w:val="28"/>
          <w:highlight w:val="none"/>
          <w:u w:val="single"/>
        </w:rPr>
        <w:t xml:space="preserve">             </w:t>
      </w:r>
      <w:r>
        <w:rPr>
          <w:rStyle w:val="24"/>
          <w:rFonts w:hint="eastAsia" w:ascii="仿宋" w:hAnsi="仿宋" w:eastAsia="仿宋" w:cs="仿宋"/>
          <w:b w:val="0"/>
          <w:bCs w:val="0"/>
          <w:color w:val="auto"/>
          <w:sz w:val="28"/>
          <w:highlight w:val="none"/>
        </w:rPr>
        <w:t>办公</w:t>
      </w:r>
      <w:r>
        <w:rPr>
          <w:rStyle w:val="24"/>
          <w:rFonts w:hint="eastAsia" w:ascii="仿宋" w:hAnsi="仿宋" w:eastAsia="仿宋" w:cs="仿宋"/>
          <w:b w:val="0"/>
          <w:color w:val="auto"/>
          <w:sz w:val="28"/>
          <w:highlight w:val="none"/>
        </w:rPr>
        <w:t>电话：</w:t>
      </w:r>
      <w:r>
        <w:rPr>
          <w:rStyle w:val="24"/>
          <w:rFonts w:hint="eastAsia" w:ascii="仿宋" w:hAnsi="仿宋" w:eastAsia="仿宋" w:cs="仿宋"/>
          <w:b w:val="0"/>
          <w:color w:val="auto"/>
          <w:sz w:val="28"/>
          <w:highlight w:val="none"/>
          <w:u w:val="single"/>
        </w:rPr>
        <w:t xml:space="preserve">             </w:t>
      </w:r>
      <w:r>
        <w:rPr>
          <w:rStyle w:val="24"/>
          <w:rFonts w:hint="eastAsia" w:ascii="仿宋" w:hAnsi="仿宋" w:eastAsia="仿宋" w:cs="仿宋"/>
          <w:b w:val="0"/>
          <w:bCs w:val="0"/>
          <w:color w:val="auto"/>
          <w:sz w:val="28"/>
          <w:highlight w:val="none"/>
        </w:rPr>
        <w:t>移动电话</w:t>
      </w:r>
      <w:r>
        <w:rPr>
          <w:rStyle w:val="24"/>
          <w:rFonts w:hint="eastAsia" w:ascii="仿宋" w:hAnsi="仿宋" w:eastAsia="仿宋" w:cs="仿宋"/>
          <w:b w:val="0"/>
          <w:color w:val="auto"/>
          <w:sz w:val="28"/>
          <w:highlight w:val="none"/>
        </w:rPr>
        <w:t>：</w:t>
      </w:r>
      <w:r>
        <w:rPr>
          <w:rStyle w:val="24"/>
          <w:rFonts w:hint="eastAsia" w:ascii="仿宋" w:hAnsi="仿宋" w:eastAsia="仿宋" w:cs="仿宋"/>
          <w:b w:val="0"/>
          <w:color w:val="auto"/>
          <w:sz w:val="28"/>
          <w:highlight w:val="none"/>
          <w:u w:val="single"/>
        </w:rPr>
        <w:t xml:space="preserve">              </w:t>
      </w:r>
    </w:p>
    <w:p>
      <w:pPr>
        <w:pStyle w:val="7"/>
        <w:rPr>
          <w:rFonts w:hint="eastAsia" w:ascii="仿宋" w:hAnsi="仿宋" w:eastAsia="仿宋" w:cs="仿宋"/>
          <w:color w:val="auto"/>
          <w:sz w:val="28"/>
          <w:szCs w:val="28"/>
          <w:highlight w:val="none"/>
          <w:u w:val="thick"/>
        </w:rPr>
      </w:pPr>
    </w:p>
    <w:p>
      <w:pPr>
        <w:pStyle w:val="7"/>
        <w:rPr>
          <w:rFonts w:hint="eastAsia" w:ascii="仿宋" w:hAnsi="仿宋" w:eastAsia="仿宋" w:cs="仿宋"/>
          <w:color w:val="auto"/>
          <w:sz w:val="28"/>
          <w:szCs w:val="28"/>
          <w:highlight w:val="none"/>
          <w:u w:val="thick"/>
        </w:rPr>
      </w:pPr>
    </w:p>
    <w:p>
      <w:pPr>
        <w:pStyle w:val="7"/>
        <w:rPr>
          <w:rFonts w:hint="eastAsia" w:ascii="仿宋" w:hAnsi="仿宋" w:eastAsia="仿宋" w:cs="仿宋"/>
          <w:color w:val="auto"/>
          <w:sz w:val="28"/>
          <w:szCs w:val="28"/>
          <w:highlight w:val="none"/>
          <w:u w:val="thick"/>
        </w:rPr>
      </w:pPr>
    </w:p>
    <w:p>
      <w:pPr>
        <w:pStyle w:val="7"/>
        <w:rPr>
          <w:rFonts w:hint="eastAsia" w:ascii="仿宋" w:hAnsi="仿宋" w:eastAsia="仿宋" w:cs="仿宋"/>
          <w:color w:val="auto"/>
          <w:sz w:val="28"/>
          <w:szCs w:val="28"/>
          <w:highlight w:val="none"/>
          <w:u w:val="thick"/>
        </w:rPr>
      </w:pPr>
    </w:p>
    <w:p>
      <w:pPr>
        <w:pStyle w:val="7"/>
        <w:rPr>
          <w:rFonts w:hint="eastAsia" w:ascii="仿宋" w:hAnsi="仿宋" w:eastAsia="仿宋" w:cs="仿宋"/>
          <w:color w:val="auto"/>
          <w:sz w:val="28"/>
          <w:szCs w:val="28"/>
          <w:highlight w:val="none"/>
          <w:u w:val="thick"/>
        </w:rPr>
      </w:pPr>
    </w:p>
    <w:p>
      <w:pPr>
        <w:pStyle w:val="7"/>
        <w:rPr>
          <w:rFonts w:hint="eastAsia" w:ascii="仿宋" w:hAnsi="仿宋" w:eastAsia="仿宋" w:cs="仿宋"/>
          <w:color w:val="auto"/>
          <w:sz w:val="28"/>
          <w:szCs w:val="28"/>
          <w:highlight w:val="none"/>
          <w:u w:val="thick"/>
        </w:rPr>
      </w:pPr>
    </w:p>
    <w:p>
      <w:pPr>
        <w:pStyle w:val="7"/>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标书封面。</w:t>
      </w:r>
    </w:p>
    <w:p>
      <w:pPr>
        <w:pStyle w:val="7"/>
        <w:rPr>
          <w:rFonts w:hint="eastAsia" w:ascii="仿宋" w:hAnsi="仿宋" w:eastAsia="仿宋" w:cs="仿宋"/>
          <w:color w:val="auto"/>
          <w:sz w:val="32"/>
          <w:szCs w:val="32"/>
          <w:highlight w:val="none"/>
        </w:rPr>
      </w:pPr>
    </w:p>
    <w:p>
      <w:pPr>
        <w:pStyle w:val="7"/>
        <w:jc w:val="right"/>
        <w:rPr>
          <w:rFonts w:hint="eastAsia" w:ascii="仿宋" w:hAnsi="仿宋" w:eastAsia="仿宋" w:cs="仿宋"/>
          <w:color w:val="auto"/>
          <w:spacing w:val="120"/>
          <w:sz w:val="32"/>
          <w:szCs w:val="32"/>
          <w:highlight w:val="none"/>
        </w:rPr>
      </w:pPr>
      <w:r>
        <w:rPr>
          <w:rFonts w:hint="eastAsia" w:ascii="仿宋" w:hAnsi="仿宋" w:eastAsia="仿宋" w:cs="仿宋"/>
          <w:color w:val="auto"/>
          <w:sz w:val="32"/>
          <w:szCs w:val="32"/>
          <w:highlight w:val="none"/>
        </w:rPr>
        <w:t>（正本/副本)</w:t>
      </w:r>
    </w:p>
    <w:p>
      <w:pPr>
        <w:pStyle w:val="7"/>
        <w:rPr>
          <w:rFonts w:hint="eastAsia" w:ascii="仿宋" w:hAnsi="仿宋" w:eastAsia="仿宋" w:cs="仿宋"/>
          <w:color w:val="auto"/>
          <w:spacing w:val="120"/>
          <w:sz w:val="52"/>
          <w:szCs w:val="52"/>
          <w:highlight w:val="none"/>
        </w:rPr>
      </w:pPr>
    </w:p>
    <w:p>
      <w:pPr>
        <w:pStyle w:val="7"/>
        <w:spacing w:line="240" w:lineRule="auto"/>
        <w:rPr>
          <w:rFonts w:hint="eastAsia" w:ascii="仿宋" w:hAnsi="仿宋" w:eastAsia="仿宋" w:cs="仿宋"/>
          <w:color w:val="auto"/>
          <w:spacing w:val="120"/>
          <w:sz w:val="52"/>
          <w:szCs w:val="52"/>
          <w:highlight w:val="none"/>
        </w:rPr>
      </w:pPr>
    </w:p>
    <w:p>
      <w:pPr>
        <w:pStyle w:val="7"/>
        <w:spacing w:line="240" w:lineRule="auto"/>
        <w:jc w:val="center"/>
        <w:rPr>
          <w:rFonts w:hint="eastAsia" w:ascii="仿宋" w:hAnsi="仿宋" w:eastAsia="仿宋" w:cs="仿宋"/>
          <w:color w:val="auto"/>
          <w:spacing w:val="120"/>
          <w:sz w:val="52"/>
          <w:szCs w:val="52"/>
          <w:highlight w:val="none"/>
        </w:rPr>
      </w:pPr>
      <w:r>
        <w:rPr>
          <w:rFonts w:hint="eastAsia" w:ascii="仿宋" w:hAnsi="仿宋" w:eastAsia="仿宋" w:cs="仿宋"/>
          <w:color w:val="auto"/>
          <w:spacing w:val="120"/>
          <w:sz w:val="52"/>
          <w:szCs w:val="52"/>
          <w:highlight w:val="none"/>
        </w:rPr>
        <w:t>投标文件</w:t>
      </w:r>
    </w:p>
    <w:p>
      <w:pPr>
        <w:pStyle w:val="7"/>
        <w:spacing w:line="240" w:lineRule="auto"/>
        <w:jc w:val="center"/>
        <w:rPr>
          <w:rFonts w:hint="eastAsia" w:ascii="仿宋" w:hAnsi="仿宋" w:eastAsia="仿宋" w:cs="仿宋"/>
          <w:color w:val="auto"/>
          <w:spacing w:val="30"/>
          <w:sz w:val="32"/>
          <w:szCs w:val="32"/>
          <w:highlight w:val="none"/>
        </w:rPr>
      </w:pPr>
    </w:p>
    <w:p>
      <w:pPr>
        <w:pStyle w:val="7"/>
        <w:rPr>
          <w:rFonts w:hint="eastAsia" w:ascii="仿宋" w:hAnsi="仿宋" w:eastAsia="仿宋" w:cs="仿宋"/>
          <w:color w:val="auto"/>
          <w:spacing w:val="30"/>
          <w:sz w:val="32"/>
          <w:szCs w:val="32"/>
          <w:highlight w:val="none"/>
          <w:lang w:val="en-US" w:eastAsia="zh-CN"/>
        </w:rPr>
      </w:pPr>
      <w:r>
        <w:rPr>
          <w:rFonts w:hint="eastAsia" w:ascii="仿宋" w:hAnsi="仿宋" w:eastAsia="仿宋" w:cs="仿宋"/>
          <w:color w:val="auto"/>
          <w:spacing w:val="30"/>
          <w:sz w:val="32"/>
          <w:szCs w:val="32"/>
          <w:highlight w:val="none"/>
          <w:lang w:val="en-US" w:eastAsia="zh-CN"/>
        </w:rPr>
        <w:t xml:space="preserve"> </w:t>
      </w:r>
    </w:p>
    <w:p>
      <w:pPr>
        <w:pStyle w:val="7"/>
        <w:rPr>
          <w:rFonts w:hint="eastAsia" w:ascii="仿宋" w:hAnsi="仿宋" w:eastAsia="仿宋" w:cs="仿宋"/>
          <w:color w:val="auto"/>
          <w:spacing w:val="30"/>
          <w:sz w:val="32"/>
          <w:szCs w:val="32"/>
          <w:highlight w:val="none"/>
          <w:lang w:val="en-US" w:eastAsia="zh-CN"/>
        </w:rPr>
      </w:pPr>
    </w:p>
    <w:p>
      <w:pPr>
        <w:pStyle w:val="7"/>
        <w:rPr>
          <w:rFonts w:hint="eastAsia" w:ascii="仿宋" w:hAnsi="仿宋" w:eastAsia="仿宋" w:cs="仿宋"/>
          <w:color w:val="auto"/>
          <w:sz w:val="32"/>
          <w:highlight w:val="none"/>
        </w:rPr>
      </w:pPr>
    </w:p>
    <w:p>
      <w:pPr>
        <w:pStyle w:val="7"/>
        <w:rPr>
          <w:rFonts w:hint="eastAsia" w:ascii="仿宋" w:hAnsi="仿宋" w:eastAsia="仿宋" w:cs="仿宋"/>
          <w:color w:val="auto"/>
          <w:sz w:val="32"/>
          <w:highlight w:val="none"/>
        </w:rPr>
      </w:pPr>
    </w:p>
    <w:p>
      <w:pPr>
        <w:pStyle w:val="7"/>
        <w:spacing w:line="24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 xml:space="preserve">                                                         </w:t>
      </w:r>
    </w:p>
    <w:p>
      <w:pPr>
        <w:pStyle w:val="7"/>
        <w:spacing w:line="240" w:lineRule="auto"/>
        <w:rPr>
          <w:rFonts w:hint="eastAsia" w:ascii="仿宋" w:hAnsi="仿宋" w:eastAsia="仿宋" w:cs="仿宋"/>
          <w:color w:val="auto"/>
          <w:sz w:val="28"/>
          <w:szCs w:val="28"/>
          <w:highlight w:val="none"/>
        </w:rPr>
      </w:pPr>
    </w:p>
    <w:p>
      <w:pPr>
        <w:pStyle w:val="7"/>
        <w:spacing w:line="24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项目地址：</w:t>
      </w:r>
      <w:r>
        <w:rPr>
          <w:rFonts w:hint="eastAsia" w:ascii="仿宋" w:hAnsi="仿宋" w:eastAsia="仿宋" w:cs="仿宋"/>
          <w:color w:val="auto"/>
          <w:sz w:val="28"/>
          <w:szCs w:val="28"/>
          <w:highlight w:val="none"/>
          <w:u w:val="single"/>
        </w:rPr>
        <w:t xml:space="preserve">                                                         </w:t>
      </w:r>
    </w:p>
    <w:p>
      <w:pPr>
        <w:pStyle w:val="7"/>
        <w:spacing w:line="240" w:lineRule="auto"/>
        <w:rPr>
          <w:rStyle w:val="24"/>
          <w:rFonts w:hint="eastAsia" w:ascii="仿宋" w:hAnsi="仿宋" w:eastAsia="仿宋" w:cs="仿宋"/>
          <w:b w:val="0"/>
          <w:color w:val="auto"/>
          <w:sz w:val="28"/>
          <w:szCs w:val="28"/>
          <w:highlight w:val="none"/>
        </w:rPr>
      </w:pPr>
    </w:p>
    <w:p>
      <w:pPr>
        <w:pStyle w:val="7"/>
        <w:spacing w:line="240" w:lineRule="auto"/>
        <w:rPr>
          <w:rStyle w:val="24"/>
          <w:rFonts w:hint="eastAsia" w:ascii="仿宋" w:hAnsi="仿宋" w:eastAsia="仿宋" w:cs="仿宋"/>
          <w:b w:val="0"/>
          <w:color w:val="auto"/>
          <w:sz w:val="28"/>
          <w:szCs w:val="28"/>
          <w:highlight w:val="none"/>
          <w:u w:val="single"/>
        </w:rPr>
      </w:pPr>
      <w:r>
        <w:rPr>
          <w:rStyle w:val="24"/>
          <w:rFonts w:hint="eastAsia" w:ascii="仿宋" w:hAnsi="仿宋" w:eastAsia="仿宋" w:cs="仿宋"/>
          <w:b w:val="0"/>
          <w:color w:val="auto"/>
          <w:sz w:val="28"/>
          <w:szCs w:val="28"/>
          <w:highlight w:val="none"/>
        </w:rPr>
        <w:t>投标人（法人公章）：</w:t>
      </w:r>
      <w:r>
        <w:rPr>
          <w:rStyle w:val="24"/>
          <w:rFonts w:hint="eastAsia" w:ascii="仿宋" w:hAnsi="仿宋" w:eastAsia="仿宋" w:cs="仿宋"/>
          <w:b w:val="0"/>
          <w:color w:val="auto"/>
          <w:sz w:val="28"/>
          <w:szCs w:val="28"/>
          <w:highlight w:val="none"/>
          <w:u w:val="single"/>
        </w:rPr>
        <w:t xml:space="preserve">                                               </w:t>
      </w:r>
    </w:p>
    <w:p>
      <w:pPr>
        <w:pStyle w:val="7"/>
        <w:spacing w:line="240" w:lineRule="auto"/>
        <w:rPr>
          <w:rStyle w:val="24"/>
          <w:rFonts w:hint="eastAsia" w:ascii="仿宋" w:hAnsi="仿宋" w:eastAsia="仿宋" w:cs="仿宋"/>
          <w:b w:val="0"/>
          <w:color w:val="auto"/>
          <w:sz w:val="28"/>
          <w:szCs w:val="28"/>
          <w:highlight w:val="none"/>
        </w:rPr>
      </w:pPr>
    </w:p>
    <w:p>
      <w:pPr>
        <w:pStyle w:val="7"/>
        <w:spacing w:line="240" w:lineRule="auto"/>
        <w:rPr>
          <w:rFonts w:hint="eastAsia" w:ascii="仿宋" w:hAnsi="仿宋" w:eastAsia="仿宋" w:cs="仿宋"/>
          <w:color w:val="auto"/>
          <w:highlight w:val="none"/>
          <w:u w:val="single"/>
        </w:rPr>
      </w:pPr>
      <w:r>
        <w:rPr>
          <w:rStyle w:val="24"/>
          <w:rFonts w:hint="eastAsia" w:ascii="仿宋" w:hAnsi="仿宋" w:eastAsia="仿宋" w:cs="仿宋"/>
          <w:b w:val="0"/>
          <w:color w:val="auto"/>
          <w:sz w:val="28"/>
          <w:szCs w:val="28"/>
          <w:highlight w:val="none"/>
        </w:rPr>
        <w:t>法定代表人（签名或签章）：</w:t>
      </w:r>
      <w:r>
        <w:rPr>
          <w:rStyle w:val="24"/>
          <w:rFonts w:hint="eastAsia" w:ascii="仿宋" w:hAnsi="仿宋" w:eastAsia="仿宋" w:cs="仿宋"/>
          <w:b w:val="0"/>
          <w:color w:val="auto"/>
          <w:sz w:val="28"/>
          <w:szCs w:val="28"/>
          <w:highlight w:val="none"/>
          <w:u w:val="single"/>
        </w:rPr>
        <w:t xml:space="preserve">                                         </w:t>
      </w:r>
    </w:p>
    <w:p>
      <w:pPr>
        <w:pStyle w:val="7"/>
        <w:spacing w:line="240" w:lineRule="auto"/>
        <w:rPr>
          <w:rStyle w:val="24"/>
          <w:rFonts w:hint="eastAsia" w:ascii="仿宋" w:hAnsi="仿宋" w:eastAsia="仿宋" w:cs="仿宋"/>
          <w:b w:val="0"/>
          <w:color w:val="auto"/>
          <w:sz w:val="28"/>
          <w:szCs w:val="28"/>
          <w:highlight w:val="none"/>
        </w:rPr>
      </w:pPr>
    </w:p>
    <w:p>
      <w:pPr>
        <w:pStyle w:val="7"/>
        <w:spacing w:line="240" w:lineRule="auto"/>
        <w:rPr>
          <w:rFonts w:hint="eastAsia" w:ascii="仿宋" w:hAnsi="仿宋" w:eastAsia="仿宋" w:cs="仿宋"/>
          <w:color w:val="auto"/>
          <w:highlight w:val="none"/>
          <w:u w:val="single"/>
        </w:rPr>
      </w:pPr>
      <w:r>
        <w:rPr>
          <w:rStyle w:val="24"/>
          <w:rFonts w:hint="eastAsia" w:ascii="仿宋" w:hAnsi="仿宋" w:eastAsia="仿宋" w:cs="仿宋"/>
          <w:b w:val="0"/>
          <w:color w:val="auto"/>
          <w:sz w:val="28"/>
          <w:szCs w:val="28"/>
          <w:highlight w:val="none"/>
        </w:rPr>
        <w:t>被授权委托人（签名或签章）：</w:t>
      </w:r>
      <w:r>
        <w:rPr>
          <w:rStyle w:val="24"/>
          <w:rFonts w:hint="eastAsia" w:ascii="仿宋" w:hAnsi="仿宋" w:eastAsia="仿宋" w:cs="仿宋"/>
          <w:b w:val="0"/>
          <w:color w:val="auto"/>
          <w:sz w:val="28"/>
          <w:szCs w:val="28"/>
          <w:highlight w:val="none"/>
          <w:u w:val="single"/>
        </w:rPr>
        <w:t xml:space="preserve">                                       </w:t>
      </w:r>
    </w:p>
    <w:p>
      <w:pPr>
        <w:pStyle w:val="7"/>
        <w:spacing w:line="240" w:lineRule="auto"/>
        <w:rPr>
          <w:rFonts w:hint="eastAsia" w:ascii="仿宋" w:hAnsi="仿宋" w:eastAsia="仿宋" w:cs="仿宋"/>
          <w:color w:val="auto"/>
          <w:sz w:val="28"/>
          <w:szCs w:val="28"/>
          <w:highlight w:val="none"/>
        </w:rPr>
      </w:pPr>
    </w:p>
    <w:p>
      <w:pPr>
        <w:pStyle w:val="7"/>
        <w:spacing w:line="24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通讯地址：</w:t>
      </w:r>
      <w:r>
        <w:rPr>
          <w:rFonts w:hint="eastAsia" w:ascii="仿宋" w:hAnsi="仿宋" w:eastAsia="仿宋" w:cs="仿宋"/>
          <w:color w:val="auto"/>
          <w:sz w:val="28"/>
          <w:szCs w:val="28"/>
          <w:highlight w:val="none"/>
          <w:u w:val="single"/>
        </w:rPr>
        <w:t xml:space="preserve">                                                         </w:t>
      </w:r>
    </w:p>
    <w:p>
      <w:pPr>
        <w:pStyle w:val="7"/>
        <w:spacing w:line="240" w:lineRule="auto"/>
        <w:rPr>
          <w:rFonts w:hint="eastAsia" w:ascii="仿宋" w:hAnsi="仿宋" w:eastAsia="仿宋" w:cs="仿宋"/>
          <w:color w:val="auto"/>
          <w:sz w:val="28"/>
          <w:szCs w:val="28"/>
          <w:highlight w:val="none"/>
        </w:rPr>
      </w:pPr>
    </w:p>
    <w:p>
      <w:pPr>
        <w:pStyle w:val="7"/>
        <w:spacing w:line="24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p>
    <w:p>
      <w:pPr>
        <w:pStyle w:val="7"/>
        <w:spacing w:line="240" w:lineRule="auto"/>
        <w:rPr>
          <w:rStyle w:val="24"/>
          <w:rFonts w:hint="eastAsia" w:ascii="仿宋" w:hAnsi="仿宋" w:eastAsia="仿宋" w:cs="仿宋"/>
          <w:b w:val="0"/>
          <w:color w:val="auto"/>
          <w:sz w:val="28"/>
          <w:highlight w:val="none"/>
        </w:rPr>
      </w:pPr>
    </w:p>
    <w:p>
      <w:pPr>
        <w:pStyle w:val="7"/>
        <w:spacing w:line="240" w:lineRule="auto"/>
        <w:rPr>
          <w:rStyle w:val="24"/>
          <w:rFonts w:hint="eastAsia" w:ascii="仿宋" w:hAnsi="仿宋" w:eastAsia="仿宋" w:cs="仿宋"/>
          <w:b w:val="0"/>
          <w:color w:val="auto"/>
          <w:sz w:val="28"/>
          <w:highlight w:val="none"/>
          <w:u w:val="single"/>
        </w:rPr>
      </w:pPr>
      <w:r>
        <w:rPr>
          <w:rStyle w:val="24"/>
          <w:rFonts w:hint="eastAsia" w:ascii="仿宋" w:hAnsi="仿宋" w:eastAsia="仿宋" w:cs="仿宋"/>
          <w:b w:val="0"/>
          <w:color w:val="auto"/>
          <w:sz w:val="28"/>
          <w:highlight w:val="none"/>
        </w:rPr>
        <w:t>联系人：</w:t>
      </w:r>
      <w:r>
        <w:rPr>
          <w:rStyle w:val="24"/>
          <w:rFonts w:hint="eastAsia" w:ascii="仿宋" w:hAnsi="仿宋" w:eastAsia="仿宋" w:cs="仿宋"/>
          <w:b w:val="0"/>
          <w:color w:val="auto"/>
          <w:sz w:val="28"/>
          <w:highlight w:val="none"/>
          <w:u w:val="single"/>
        </w:rPr>
        <w:t xml:space="preserve">             </w:t>
      </w:r>
      <w:r>
        <w:rPr>
          <w:rStyle w:val="24"/>
          <w:rFonts w:hint="eastAsia" w:ascii="仿宋" w:hAnsi="仿宋" w:eastAsia="仿宋" w:cs="仿宋"/>
          <w:b w:val="0"/>
          <w:bCs w:val="0"/>
          <w:color w:val="auto"/>
          <w:sz w:val="28"/>
          <w:highlight w:val="none"/>
        </w:rPr>
        <w:t>办公</w:t>
      </w:r>
      <w:r>
        <w:rPr>
          <w:rStyle w:val="24"/>
          <w:rFonts w:hint="eastAsia" w:ascii="仿宋" w:hAnsi="仿宋" w:eastAsia="仿宋" w:cs="仿宋"/>
          <w:b w:val="0"/>
          <w:color w:val="auto"/>
          <w:sz w:val="28"/>
          <w:highlight w:val="none"/>
        </w:rPr>
        <w:t>电话：</w:t>
      </w:r>
      <w:r>
        <w:rPr>
          <w:rStyle w:val="24"/>
          <w:rFonts w:hint="eastAsia" w:ascii="仿宋" w:hAnsi="仿宋" w:eastAsia="仿宋" w:cs="仿宋"/>
          <w:b w:val="0"/>
          <w:color w:val="auto"/>
          <w:sz w:val="28"/>
          <w:highlight w:val="none"/>
          <w:u w:val="single"/>
        </w:rPr>
        <w:t xml:space="preserve">              </w:t>
      </w:r>
      <w:r>
        <w:rPr>
          <w:rStyle w:val="24"/>
          <w:rFonts w:hint="eastAsia" w:ascii="仿宋" w:hAnsi="仿宋" w:eastAsia="仿宋" w:cs="仿宋"/>
          <w:b w:val="0"/>
          <w:bCs w:val="0"/>
          <w:color w:val="auto"/>
          <w:sz w:val="28"/>
          <w:highlight w:val="none"/>
        </w:rPr>
        <w:t>移动电话</w:t>
      </w:r>
      <w:r>
        <w:rPr>
          <w:rStyle w:val="24"/>
          <w:rFonts w:hint="eastAsia" w:ascii="仿宋" w:hAnsi="仿宋" w:eastAsia="仿宋" w:cs="仿宋"/>
          <w:b w:val="0"/>
          <w:color w:val="auto"/>
          <w:sz w:val="28"/>
          <w:highlight w:val="none"/>
        </w:rPr>
        <w:t>：</w:t>
      </w:r>
      <w:r>
        <w:rPr>
          <w:rStyle w:val="24"/>
          <w:rFonts w:hint="eastAsia" w:ascii="仿宋" w:hAnsi="仿宋" w:eastAsia="仿宋" w:cs="仿宋"/>
          <w:b w:val="0"/>
          <w:color w:val="auto"/>
          <w:sz w:val="28"/>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7"/>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7"/>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7"/>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（法定代表人姓名）系（投标人名称）法定代表人。</w:t>
      </w:r>
    </w:p>
    <w:p>
      <w:pPr>
        <w:pStyle w:val="7"/>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7"/>
        <w:spacing w:line="240" w:lineRule="auto"/>
        <w:rPr>
          <w:rFonts w:hint="eastAsia" w:ascii="仿宋" w:hAnsi="仿宋" w:eastAsia="仿宋" w:cs="仿宋"/>
          <w:color w:val="auto"/>
          <w:kern w:val="0"/>
          <w:sz w:val="28"/>
          <w:szCs w:val="28"/>
          <w:highlight w:val="none"/>
        </w:rPr>
      </w:pPr>
    </w:p>
    <w:p>
      <w:pPr>
        <w:pStyle w:val="7"/>
        <w:spacing w:line="240" w:lineRule="auto"/>
        <w:rPr>
          <w:rFonts w:hint="eastAsia" w:ascii="仿宋" w:hAnsi="仿宋" w:eastAsia="仿宋" w:cs="仿宋"/>
          <w:color w:val="auto"/>
          <w:kern w:val="0"/>
          <w:sz w:val="28"/>
          <w:szCs w:val="28"/>
          <w:highlight w:val="none"/>
        </w:rPr>
      </w:pPr>
    </w:p>
    <w:p>
      <w:pPr>
        <w:pStyle w:val="7"/>
        <w:spacing w:line="240" w:lineRule="auto"/>
        <w:rPr>
          <w:rFonts w:hint="eastAsia" w:ascii="仿宋" w:hAnsi="仿宋" w:eastAsia="仿宋" w:cs="仿宋"/>
          <w:color w:val="auto"/>
          <w:kern w:val="0"/>
          <w:sz w:val="28"/>
          <w:szCs w:val="28"/>
          <w:highlight w:val="none"/>
        </w:rPr>
      </w:pPr>
    </w:p>
    <w:p>
      <w:pPr>
        <w:pStyle w:val="7"/>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投标人（法人公章）：</w:t>
      </w:r>
      <w:r>
        <w:rPr>
          <w:rFonts w:hint="eastAsia" w:ascii="仿宋" w:hAnsi="仿宋" w:eastAsia="仿宋" w:cs="仿宋"/>
          <w:color w:val="auto"/>
          <w:kern w:val="0"/>
          <w:sz w:val="28"/>
          <w:szCs w:val="28"/>
          <w:highlight w:val="none"/>
          <w:u w:val="single"/>
        </w:rPr>
        <w:t xml:space="preserve">                                                                 </w:t>
      </w:r>
    </w:p>
    <w:p>
      <w:pPr>
        <w:pStyle w:val="7"/>
        <w:spacing w:line="240" w:lineRule="auto"/>
        <w:rPr>
          <w:rFonts w:hint="eastAsia" w:ascii="仿宋" w:hAnsi="仿宋" w:eastAsia="仿宋" w:cs="仿宋"/>
          <w:color w:val="auto"/>
          <w:kern w:val="0"/>
          <w:sz w:val="28"/>
          <w:szCs w:val="28"/>
          <w:highlight w:val="none"/>
        </w:rPr>
      </w:pPr>
    </w:p>
    <w:p>
      <w:pPr>
        <w:pStyle w:val="7"/>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21"/>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7"/>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pPr>
        <w:pStyle w:val="7"/>
        <w:rPr>
          <w:rFonts w:hint="eastAsia" w:ascii="仿宋" w:hAnsi="仿宋" w:eastAsia="仿宋" w:cs="仿宋"/>
          <w:color w:val="auto"/>
          <w:kern w:val="0"/>
          <w:highlight w:val="none"/>
        </w:rPr>
      </w:pPr>
    </w:p>
    <w:p>
      <w:pPr>
        <w:pStyle w:val="7"/>
        <w:rPr>
          <w:rStyle w:val="24"/>
          <w:rFonts w:hint="eastAsia" w:ascii="仿宋" w:hAnsi="仿宋" w:eastAsia="仿宋" w:cs="仿宋"/>
          <w:b w:val="0"/>
          <w:color w:val="auto"/>
          <w:sz w:val="28"/>
          <w:szCs w:val="28"/>
          <w:highlight w:val="none"/>
        </w:rPr>
      </w:pPr>
      <w:r>
        <w:rPr>
          <w:rFonts w:hint="eastAsia" w:ascii="仿宋" w:hAnsi="仿宋" w:eastAsia="仿宋" w:cs="仿宋"/>
          <w:color w:val="auto"/>
          <w:kern w:val="0"/>
          <w:highlight w:val="none"/>
        </w:rPr>
        <w:br w:type="page"/>
      </w:r>
    </w:p>
    <w:p>
      <w:pPr>
        <w:pStyle w:val="7"/>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需至少90天</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7"/>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本人（法定代表人姓名）系（投标人名称）的法定代表人，现委托（被授权委托人姓名）代表本人负责（</w:t>
      </w:r>
      <w:r>
        <w:rPr>
          <w:rFonts w:hint="eastAsia" w:ascii="仿宋" w:hAnsi="仿宋" w:eastAsia="仿宋" w:cs="仿宋"/>
          <w:color w:val="auto"/>
          <w:szCs w:val="21"/>
          <w:highlight w:val="none"/>
          <w:u w:val="none"/>
          <w:lang w:eastAsia="zh-CN"/>
        </w:rPr>
        <w:t>汇华水岸4栋家电采购安装服务</w:t>
      </w:r>
      <w:r>
        <w:rPr>
          <w:rFonts w:hint="eastAsia" w:ascii="仿宋" w:hAnsi="仿宋" w:eastAsia="仿宋" w:cs="仿宋"/>
          <w:color w:val="auto"/>
          <w:kern w:val="0"/>
          <w:szCs w:val="21"/>
          <w:highlight w:val="none"/>
        </w:rPr>
        <w:t>）的投标活动，处理与之相关的事务，包括：获取招标投标相关文件、材料，提出相关问题，参加相关会议，签署、递交、撤回、修改、澄清、说明、补正资格申请文件、投标文件。</w:t>
      </w:r>
    </w:p>
    <w:p>
      <w:pPr>
        <w:pStyle w:val="7"/>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rPr>
        <w:t>[       ]年[   ]月[   ]日</w:t>
      </w:r>
      <w:r>
        <w:rPr>
          <w:rFonts w:hint="eastAsia" w:ascii="仿宋" w:hAnsi="仿宋" w:eastAsia="仿宋" w:cs="仿宋"/>
          <w:color w:val="auto"/>
          <w:kern w:val="0"/>
          <w:szCs w:val="21"/>
          <w:highlight w:val="none"/>
        </w:rPr>
        <w:t>起至</w:t>
      </w:r>
      <w:r>
        <w:rPr>
          <w:rFonts w:hint="eastAsia" w:ascii="仿宋" w:hAnsi="仿宋" w:eastAsia="仿宋" w:cs="仿宋"/>
          <w:color w:val="auto"/>
          <w:szCs w:val="21"/>
          <w:highlight w:val="none"/>
        </w:rPr>
        <w:t>[       ]年[   ]月[   ]日</w:t>
      </w:r>
      <w:r>
        <w:rPr>
          <w:rFonts w:hint="eastAsia" w:ascii="仿宋" w:hAnsi="仿宋" w:eastAsia="仿宋" w:cs="仿宋"/>
          <w:color w:val="auto"/>
          <w:kern w:val="0"/>
          <w:szCs w:val="21"/>
          <w:highlight w:val="none"/>
        </w:rPr>
        <w:t>止。</w:t>
      </w:r>
    </w:p>
    <w:p>
      <w:pPr>
        <w:pStyle w:val="7"/>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7"/>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被授权委托人在以上期限之内从事授权范围之内的相关活动引起的一切法律责任均由投标人承担。</w:t>
      </w:r>
    </w:p>
    <w:p>
      <w:pPr>
        <w:pStyle w:val="7"/>
        <w:spacing w:line="240" w:lineRule="auto"/>
        <w:rPr>
          <w:rFonts w:hint="eastAsia" w:ascii="仿宋" w:hAnsi="仿宋" w:eastAsia="仿宋" w:cs="仿宋"/>
          <w:color w:val="auto"/>
          <w:kern w:val="0"/>
          <w:szCs w:val="21"/>
          <w:highlight w:val="none"/>
        </w:rPr>
      </w:pPr>
    </w:p>
    <w:p>
      <w:pPr>
        <w:pStyle w:val="7"/>
        <w:spacing w:line="24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附件：法定代表人身份证明</w:t>
      </w:r>
    </w:p>
    <w:p>
      <w:pPr>
        <w:pStyle w:val="7"/>
        <w:spacing w:line="240" w:lineRule="auto"/>
        <w:rPr>
          <w:rFonts w:hint="eastAsia" w:ascii="仿宋" w:hAnsi="仿宋" w:eastAsia="仿宋" w:cs="仿宋"/>
          <w:color w:val="auto"/>
          <w:kern w:val="0"/>
          <w:szCs w:val="21"/>
          <w:highlight w:val="none"/>
        </w:rPr>
      </w:pPr>
    </w:p>
    <w:p>
      <w:pPr>
        <w:pStyle w:val="7"/>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投标人（法人公章）：</w:t>
      </w:r>
      <w:r>
        <w:rPr>
          <w:rFonts w:hint="eastAsia" w:ascii="仿宋" w:hAnsi="仿宋" w:eastAsia="仿宋" w:cs="仿宋"/>
          <w:color w:val="auto"/>
          <w:kern w:val="0"/>
          <w:szCs w:val="21"/>
          <w:highlight w:val="none"/>
          <w:u w:val="single"/>
        </w:rPr>
        <w:t xml:space="preserve">                                                                 </w:t>
      </w:r>
    </w:p>
    <w:p>
      <w:pPr>
        <w:pStyle w:val="7"/>
        <w:spacing w:line="240" w:lineRule="auto"/>
        <w:rPr>
          <w:rFonts w:hint="eastAsia" w:ascii="仿宋" w:hAnsi="仿宋" w:eastAsia="仿宋" w:cs="仿宋"/>
          <w:color w:val="auto"/>
          <w:kern w:val="0"/>
          <w:szCs w:val="21"/>
          <w:highlight w:val="none"/>
        </w:rPr>
      </w:pPr>
    </w:p>
    <w:p>
      <w:pPr>
        <w:pStyle w:val="7"/>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pPr>
        <w:pStyle w:val="7"/>
        <w:spacing w:line="240" w:lineRule="auto"/>
        <w:rPr>
          <w:rFonts w:hint="eastAsia" w:ascii="仿宋" w:hAnsi="仿宋" w:eastAsia="仿宋" w:cs="仿宋"/>
          <w:color w:val="auto"/>
          <w:kern w:val="0"/>
          <w:szCs w:val="21"/>
          <w:highlight w:val="none"/>
        </w:rPr>
      </w:pPr>
    </w:p>
    <w:p>
      <w:pPr>
        <w:pStyle w:val="7"/>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7"/>
        <w:spacing w:line="240" w:lineRule="auto"/>
        <w:rPr>
          <w:rFonts w:hint="eastAsia" w:ascii="仿宋" w:hAnsi="仿宋" w:eastAsia="仿宋" w:cs="仿宋"/>
          <w:color w:val="auto"/>
          <w:kern w:val="0"/>
          <w:szCs w:val="21"/>
          <w:highlight w:val="none"/>
        </w:rPr>
      </w:pPr>
    </w:p>
    <w:p>
      <w:pPr>
        <w:pStyle w:val="7"/>
        <w:wordWrap w:val="0"/>
        <w:spacing w:line="240" w:lineRule="auto"/>
        <w:jc w:val="righ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年    月   日</w:t>
      </w:r>
    </w:p>
    <w:p>
      <w:pPr>
        <w:autoSpaceDE w:val="0"/>
        <w:autoSpaceDN w:val="0"/>
        <w:adjustRightInd w:val="0"/>
        <w:rPr>
          <w:rFonts w:hint="eastAsia" w:ascii="仿宋" w:hAnsi="仿宋" w:eastAsia="仿宋" w:cs="仿宋"/>
          <w:color w:val="auto"/>
          <w:kern w:val="0"/>
          <w:highlight w:val="none"/>
        </w:rPr>
      </w:pPr>
    </w:p>
    <w:p>
      <w:pPr>
        <w:autoSpaceDE w:val="0"/>
        <w:autoSpaceDN w:val="0"/>
        <w:adjustRightInd w:val="0"/>
        <w:rPr>
          <w:rFonts w:hint="eastAsia" w:ascii="仿宋" w:hAnsi="仿宋" w:eastAsia="仿宋" w:cs="仿宋"/>
          <w:color w:val="auto"/>
          <w:kern w:val="0"/>
          <w:highlight w:val="none"/>
        </w:rPr>
      </w:pPr>
    </w:p>
    <w:p>
      <w:pPr>
        <w:autoSpaceDE w:val="0"/>
        <w:autoSpaceDN w:val="0"/>
        <w:adjustRightInd w:val="0"/>
        <w:rPr>
          <w:rFonts w:hint="eastAsia" w:ascii="仿宋" w:hAnsi="仿宋" w:eastAsia="仿宋" w:cs="仿宋"/>
          <w:color w:val="auto"/>
          <w:kern w:val="0"/>
          <w:highlight w:val="none"/>
        </w:rPr>
      </w:pPr>
    </w:p>
    <w:tbl>
      <w:tblPr>
        <w:tblStyle w:val="21"/>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7"/>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7"/>
        <w:rPr>
          <w:rStyle w:val="24"/>
          <w:rFonts w:hint="eastAsia" w:ascii="仿宋" w:hAnsi="仿宋" w:eastAsia="仿宋" w:cs="仿宋"/>
          <w:b w:val="0"/>
          <w:color w:val="auto"/>
          <w:sz w:val="28"/>
          <w:szCs w:val="28"/>
          <w:highlight w:val="none"/>
        </w:rPr>
      </w:pPr>
      <w:r>
        <w:rPr>
          <w:rFonts w:hint="eastAsia" w:ascii="仿宋" w:hAnsi="仿宋" w:eastAsia="仿宋" w:cs="仿宋"/>
          <w:color w:val="auto"/>
          <w:kern w:val="0"/>
          <w:szCs w:val="21"/>
          <w:highlight w:val="none"/>
        </w:rPr>
        <w:br w:type="page"/>
      </w:r>
    </w:p>
    <w:p>
      <w:pPr>
        <w:pStyle w:val="7"/>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投标函。</w:t>
      </w:r>
    </w:p>
    <w:p>
      <w:pPr>
        <w:autoSpaceDE w:val="0"/>
        <w:autoSpaceDN w:val="0"/>
        <w:adjustRightInd w:val="0"/>
        <w:jc w:val="center"/>
        <w:rPr>
          <w:rFonts w:hint="eastAsia" w:ascii="仿宋" w:hAnsi="仿宋" w:eastAsia="仿宋" w:cs="仿宋"/>
          <w:color w:val="auto"/>
          <w:kern w:val="0"/>
          <w:sz w:val="44"/>
          <w:szCs w:val="44"/>
          <w:highlight w:val="none"/>
          <w:lang w:eastAsia="zh-CN"/>
        </w:rPr>
      </w:pPr>
      <w:r>
        <w:rPr>
          <w:rFonts w:hint="eastAsia" w:ascii="仿宋" w:hAnsi="仿宋" w:eastAsia="仿宋" w:cs="仿宋"/>
          <w:color w:val="auto"/>
          <w:kern w:val="0"/>
          <w:sz w:val="44"/>
          <w:szCs w:val="44"/>
          <w:highlight w:val="none"/>
        </w:rPr>
        <w:t xml:space="preserve">投 标 </w:t>
      </w:r>
      <w:r>
        <w:rPr>
          <w:rFonts w:hint="eastAsia" w:ascii="仿宋" w:hAnsi="仿宋" w:eastAsia="仿宋" w:cs="仿宋"/>
          <w:color w:val="auto"/>
          <w:kern w:val="0"/>
          <w:sz w:val="44"/>
          <w:szCs w:val="44"/>
          <w:highlight w:val="none"/>
          <w:lang w:eastAsia="zh-CN"/>
        </w:rPr>
        <w:t>承</w:t>
      </w:r>
      <w:r>
        <w:rPr>
          <w:rFonts w:hint="eastAsia" w:ascii="仿宋" w:hAnsi="仿宋" w:eastAsia="仿宋" w:cs="仿宋"/>
          <w:color w:val="auto"/>
          <w:kern w:val="0"/>
          <w:sz w:val="44"/>
          <w:szCs w:val="44"/>
          <w:highlight w:val="none"/>
          <w:lang w:val="en-US" w:eastAsia="zh-CN"/>
        </w:rPr>
        <w:t xml:space="preserve"> </w:t>
      </w:r>
      <w:r>
        <w:rPr>
          <w:rFonts w:hint="eastAsia" w:ascii="仿宋" w:hAnsi="仿宋" w:eastAsia="仿宋" w:cs="仿宋"/>
          <w:color w:val="auto"/>
          <w:kern w:val="0"/>
          <w:sz w:val="44"/>
          <w:szCs w:val="44"/>
          <w:highlight w:val="none"/>
          <w:lang w:eastAsia="zh-CN"/>
        </w:rPr>
        <w:t>诺</w:t>
      </w:r>
      <w:r>
        <w:rPr>
          <w:rFonts w:hint="eastAsia" w:ascii="仿宋" w:hAnsi="仿宋" w:eastAsia="仿宋" w:cs="仿宋"/>
          <w:color w:val="auto"/>
          <w:kern w:val="0"/>
          <w:sz w:val="44"/>
          <w:szCs w:val="44"/>
          <w:highlight w:val="none"/>
          <w:lang w:val="en-US" w:eastAsia="zh-CN"/>
        </w:rPr>
        <w:t xml:space="preserve"> </w:t>
      </w:r>
      <w:r>
        <w:rPr>
          <w:rFonts w:hint="eastAsia" w:ascii="仿宋" w:hAnsi="仿宋" w:eastAsia="仿宋" w:cs="仿宋"/>
          <w:color w:val="auto"/>
          <w:kern w:val="0"/>
          <w:sz w:val="44"/>
          <w:szCs w:val="44"/>
          <w:highlight w:val="none"/>
          <w:lang w:eastAsia="zh-CN"/>
        </w:rPr>
        <w:t>书</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u w:val="single"/>
          <w:lang w:eastAsia="zh-CN"/>
        </w:rPr>
        <w:t>珠海汇华置地投资有限公司</w:t>
      </w:r>
      <w:r>
        <w:rPr>
          <w:rFonts w:hint="eastAsia" w:ascii="仿宋" w:hAnsi="仿宋" w:eastAsia="仿宋" w:cs="仿宋"/>
          <w:color w:val="auto"/>
          <w:kern w:val="0"/>
          <w:szCs w:val="21"/>
          <w:highlight w:val="none"/>
        </w:rPr>
        <w:t>：</w:t>
      </w:r>
    </w:p>
    <w:p>
      <w:pPr>
        <w:autoSpaceDE w:val="0"/>
        <w:autoSpaceDN w:val="0"/>
        <w:adjustRightInd w:val="0"/>
        <w:spacing w:line="360" w:lineRule="auto"/>
        <w:ind w:right="422" w:rightChars="201" w:firstLine="283" w:firstLineChars="135"/>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本投标人已详细阅读了</w:t>
      </w:r>
      <w:r>
        <w:rPr>
          <w:rFonts w:hint="eastAsia" w:ascii="仿宋" w:hAnsi="仿宋" w:eastAsia="仿宋" w:cs="仿宋"/>
          <w:color w:val="auto"/>
          <w:szCs w:val="21"/>
          <w:highlight w:val="none"/>
          <w:u w:val="single"/>
          <w:lang w:eastAsia="zh-CN"/>
        </w:rPr>
        <w:t>汇华水岸4栋家电采购安装服务</w:t>
      </w:r>
      <w:r>
        <w:rPr>
          <w:rFonts w:hint="eastAsia" w:ascii="仿宋" w:hAnsi="仿宋" w:eastAsia="仿宋" w:cs="仿宋"/>
          <w:color w:val="auto"/>
          <w:kern w:val="0"/>
          <w:szCs w:val="21"/>
          <w:highlight w:val="none"/>
        </w:rPr>
        <w:t>招标文件，现就参加投标的有关事项向招标人</w:t>
      </w:r>
      <w:r>
        <w:rPr>
          <w:rFonts w:hint="eastAsia" w:ascii="仿宋" w:hAnsi="仿宋" w:eastAsia="仿宋" w:cs="仿宋"/>
          <w:color w:val="auto"/>
          <w:kern w:val="0"/>
          <w:szCs w:val="21"/>
          <w:highlight w:val="none"/>
          <w:lang w:eastAsia="zh-CN"/>
        </w:rPr>
        <w:t>及招标代理</w:t>
      </w:r>
      <w:r>
        <w:rPr>
          <w:rFonts w:hint="eastAsia" w:ascii="仿宋" w:hAnsi="仿宋" w:eastAsia="仿宋" w:cs="仿宋"/>
          <w:color w:val="auto"/>
          <w:kern w:val="0"/>
          <w:szCs w:val="21"/>
          <w:highlight w:val="none"/>
        </w:rPr>
        <w:t>郑重承诺如下：</w:t>
      </w:r>
    </w:p>
    <w:p>
      <w:pPr>
        <w:widowControl/>
        <w:numPr>
          <w:ilvl w:val="0"/>
          <w:numId w:val="3"/>
        </w:numPr>
        <w:adjustRightInd w:val="0"/>
        <w:spacing w:line="500" w:lineRule="exact"/>
        <w:ind w:left="0" w:right="-89" w:firstLine="403" w:firstLineChars="19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遵守中华人民共和国、广东省、珠海市有关招标投标的法律法规规定，自觉维护市场秩序。</w:t>
      </w:r>
    </w:p>
    <w:p>
      <w:pPr>
        <w:widowControl/>
        <w:numPr>
          <w:ilvl w:val="0"/>
          <w:numId w:val="3"/>
        </w:numPr>
        <w:adjustRightInd w:val="0"/>
        <w:spacing w:line="500" w:lineRule="exact"/>
        <w:ind w:left="0" w:right="-89" w:firstLine="403" w:firstLineChars="19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接受招标文件全部内容。</w:t>
      </w:r>
    </w:p>
    <w:p>
      <w:pPr>
        <w:widowControl/>
        <w:numPr>
          <w:ilvl w:val="0"/>
          <w:numId w:val="3"/>
        </w:numPr>
        <w:adjustRightInd w:val="0"/>
        <w:spacing w:line="500" w:lineRule="exact"/>
        <w:ind w:left="0" w:right="-89" w:firstLine="403" w:firstLineChars="19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服从招标议程工作安排，遵守招标有关会议现场纪律。</w:t>
      </w:r>
    </w:p>
    <w:p>
      <w:pPr>
        <w:widowControl/>
        <w:numPr>
          <w:ilvl w:val="0"/>
          <w:numId w:val="3"/>
        </w:numPr>
        <w:adjustRightInd w:val="0"/>
        <w:spacing w:line="500" w:lineRule="exact"/>
        <w:ind w:left="0" w:right="-89" w:firstLine="403" w:firstLineChars="19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保证投标文件内容无任何虚假。</w:t>
      </w:r>
    </w:p>
    <w:p>
      <w:pPr>
        <w:widowControl/>
        <w:numPr>
          <w:ilvl w:val="0"/>
          <w:numId w:val="3"/>
        </w:numPr>
        <w:adjustRightInd w:val="0"/>
        <w:spacing w:line="500" w:lineRule="exact"/>
        <w:ind w:left="0" w:right="-89" w:firstLine="403" w:firstLineChars="19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保证投标文件不存在低于成本的恶意报价行为。</w:t>
      </w:r>
    </w:p>
    <w:p>
      <w:pPr>
        <w:widowControl/>
        <w:numPr>
          <w:ilvl w:val="0"/>
          <w:numId w:val="3"/>
        </w:numPr>
        <w:adjustRightInd w:val="0"/>
        <w:spacing w:line="500" w:lineRule="exact"/>
        <w:ind w:left="0" w:right="-89" w:firstLine="403" w:firstLineChars="19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保证按招标文件及中标通知书规定商签合同。</w:t>
      </w:r>
    </w:p>
    <w:p>
      <w:pPr>
        <w:widowControl/>
        <w:numPr>
          <w:ilvl w:val="0"/>
          <w:numId w:val="3"/>
        </w:numPr>
        <w:adjustRightInd w:val="0"/>
        <w:spacing w:line="500" w:lineRule="exact"/>
        <w:ind w:left="0" w:right="-89" w:firstLine="403" w:firstLineChars="19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保证按合同约定完成合同范围内的全部内容。 </w:t>
      </w:r>
    </w:p>
    <w:p>
      <w:pPr>
        <w:widowControl/>
        <w:numPr>
          <w:ilvl w:val="0"/>
          <w:numId w:val="3"/>
        </w:numPr>
        <w:adjustRightInd w:val="0"/>
        <w:spacing w:line="500" w:lineRule="exact"/>
        <w:ind w:left="0" w:right="-89" w:firstLine="403" w:firstLineChars="19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保证中标之后按</w:t>
      </w:r>
      <w:r>
        <w:rPr>
          <w:rFonts w:hint="eastAsia" w:ascii="仿宋" w:hAnsi="仿宋" w:eastAsia="仿宋" w:cs="仿宋"/>
          <w:color w:val="auto"/>
          <w:szCs w:val="21"/>
          <w:highlight w:val="none"/>
          <w:lang w:eastAsia="zh-CN"/>
        </w:rPr>
        <w:t>招标人</w:t>
      </w:r>
      <w:r>
        <w:rPr>
          <w:rFonts w:hint="eastAsia" w:ascii="仿宋" w:hAnsi="仿宋" w:eastAsia="仿宋" w:cs="仿宋"/>
          <w:color w:val="auto"/>
          <w:szCs w:val="21"/>
          <w:highlight w:val="none"/>
        </w:rPr>
        <w:t>要求派驻项目服务人员。</w:t>
      </w:r>
    </w:p>
    <w:p>
      <w:pPr>
        <w:autoSpaceDE w:val="0"/>
        <w:autoSpaceDN w:val="0"/>
        <w:adjustRightInd w:val="0"/>
        <w:jc w:val="left"/>
        <w:rPr>
          <w:rFonts w:hint="eastAsia" w:ascii="仿宋" w:hAnsi="仿宋" w:eastAsia="仿宋" w:cs="仿宋"/>
          <w:color w:val="auto"/>
          <w:kern w:val="0"/>
          <w:szCs w:val="21"/>
          <w:highlight w:val="none"/>
        </w:rPr>
      </w:pPr>
    </w:p>
    <w:p>
      <w:pPr>
        <w:autoSpaceDE w:val="0"/>
        <w:autoSpaceDN w:val="0"/>
        <w:adjustRightInd w:val="0"/>
        <w:jc w:val="left"/>
        <w:rPr>
          <w:rFonts w:hint="eastAsia" w:ascii="仿宋" w:hAnsi="仿宋" w:eastAsia="仿宋" w:cs="仿宋"/>
          <w:color w:val="auto"/>
          <w:kern w:val="0"/>
          <w:szCs w:val="21"/>
          <w:highlight w:val="none"/>
        </w:rPr>
      </w:pPr>
    </w:p>
    <w:p>
      <w:pPr>
        <w:autoSpaceDE w:val="0"/>
        <w:autoSpaceDN w:val="0"/>
        <w:adjustRightInd w:val="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投标人（法人公章）： </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                                                          </w:t>
      </w:r>
    </w:p>
    <w:p>
      <w:pPr>
        <w:autoSpaceDE w:val="0"/>
        <w:autoSpaceDN w:val="0"/>
        <w:adjustRightInd w:val="0"/>
        <w:jc w:val="left"/>
        <w:rPr>
          <w:rFonts w:hint="eastAsia" w:ascii="仿宋" w:hAnsi="仿宋" w:eastAsia="仿宋" w:cs="仿宋"/>
          <w:color w:val="auto"/>
          <w:kern w:val="0"/>
          <w:szCs w:val="21"/>
          <w:highlight w:val="none"/>
        </w:rPr>
      </w:pPr>
    </w:p>
    <w:p>
      <w:pPr>
        <w:pStyle w:val="7"/>
        <w:spacing w:line="24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                                                     </w:t>
      </w:r>
    </w:p>
    <w:p>
      <w:pPr>
        <w:pStyle w:val="7"/>
        <w:spacing w:line="240" w:lineRule="auto"/>
        <w:rPr>
          <w:rFonts w:hint="eastAsia" w:ascii="仿宋" w:hAnsi="仿宋" w:eastAsia="仿宋" w:cs="仿宋"/>
          <w:color w:val="auto"/>
          <w:kern w:val="0"/>
          <w:szCs w:val="21"/>
          <w:highlight w:val="none"/>
        </w:rPr>
      </w:pPr>
    </w:p>
    <w:p>
      <w:pPr>
        <w:pStyle w:val="7"/>
        <w:spacing w:line="24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                                                   </w:t>
      </w:r>
    </w:p>
    <w:p>
      <w:pPr>
        <w:autoSpaceDE w:val="0"/>
        <w:autoSpaceDN w:val="0"/>
        <w:adjustRightInd w:val="0"/>
        <w:jc w:val="left"/>
        <w:rPr>
          <w:rFonts w:hint="eastAsia" w:ascii="仿宋" w:hAnsi="仿宋" w:eastAsia="仿宋" w:cs="仿宋"/>
          <w:color w:val="auto"/>
          <w:kern w:val="0"/>
          <w:szCs w:val="21"/>
          <w:highlight w:val="none"/>
        </w:rPr>
      </w:pPr>
    </w:p>
    <w:p>
      <w:pPr>
        <w:autoSpaceDE w:val="0"/>
        <w:autoSpaceDN w:val="0"/>
        <w:adjustRightInd w:val="0"/>
        <w:jc w:val="righ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年   月   日</w:t>
      </w:r>
    </w:p>
    <w:p>
      <w:pPr>
        <w:autoSpaceDE w:val="0"/>
        <w:autoSpaceDN w:val="0"/>
        <w:adjustRightInd w:val="0"/>
        <w:jc w:val="right"/>
        <w:rPr>
          <w:rFonts w:hint="eastAsia" w:ascii="仿宋" w:hAnsi="仿宋" w:eastAsia="仿宋" w:cs="仿宋"/>
          <w:color w:val="auto"/>
          <w:kern w:val="0"/>
          <w:szCs w:val="21"/>
          <w:highlight w:val="none"/>
        </w:rPr>
        <w:sectPr>
          <w:footerReference r:id="rId7" w:type="default"/>
          <w:pgSz w:w="11906" w:h="16838"/>
          <w:pgMar w:top="1417" w:right="1304" w:bottom="1134" w:left="1304" w:header="851" w:footer="851" w:gutter="113"/>
          <w:pgNumType w:fmt="decimal"/>
          <w:cols w:space="720" w:num="1"/>
          <w:rtlGutter w:val="0"/>
          <w:docGrid w:linePitch="290" w:charSpace="87938"/>
        </w:sectPr>
      </w:pPr>
    </w:p>
    <w:p>
      <w:pPr>
        <w:pStyle w:val="7"/>
        <w:spacing w:line="240" w:lineRule="auto"/>
        <w:rPr>
          <w:rFonts w:hint="eastAsia" w:ascii="仿宋" w:hAnsi="仿宋" w:eastAsia="仿宋" w:cs="仿宋"/>
          <w:color w:val="auto"/>
          <w:sz w:val="32"/>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报价单</w:t>
      </w:r>
      <w:r>
        <w:rPr>
          <w:rFonts w:hint="eastAsia" w:ascii="仿宋" w:hAnsi="仿宋" w:eastAsia="仿宋" w:cs="仿宋"/>
          <w:color w:val="auto"/>
          <w:kern w:val="0"/>
          <w:sz w:val="24"/>
          <w:highlight w:val="none"/>
          <w:lang w:val="en-US" w:eastAsia="zh-CN"/>
        </w:rPr>
        <w:t>模板</w:t>
      </w:r>
      <w:r>
        <w:rPr>
          <w:rFonts w:hint="eastAsia" w:ascii="仿宋" w:hAnsi="仿宋" w:eastAsia="仿宋" w:cs="仿宋"/>
          <w:color w:val="auto"/>
          <w:kern w:val="0"/>
          <w:sz w:val="24"/>
          <w:highlight w:val="none"/>
        </w:rPr>
        <w:t>。</w:t>
      </w:r>
    </w:p>
    <w:p>
      <w:pPr>
        <w:spacing w:before="298"/>
        <w:ind w:left="133" w:right="0" w:firstLine="0"/>
        <w:jc w:val="center"/>
        <w:rPr>
          <w:rFonts w:hint="eastAsia" w:ascii="仿宋" w:hAnsi="仿宋" w:eastAsia="仿宋" w:cs="仿宋"/>
          <w:b/>
          <w:bCs/>
          <w:color w:val="auto"/>
          <w:sz w:val="32"/>
          <w:highlight w:val="none"/>
        </w:rPr>
      </w:pPr>
      <w:r>
        <w:rPr>
          <w:rFonts w:hint="eastAsia" w:ascii="仿宋" w:hAnsi="仿宋" w:eastAsia="仿宋" w:cs="仿宋"/>
          <w:b/>
          <w:bCs/>
          <w:color w:val="auto"/>
          <w:sz w:val="32"/>
          <w:highlight w:val="none"/>
        </w:rPr>
        <w:t>报价单</w:t>
      </w:r>
    </w:p>
    <w:p>
      <w:pPr>
        <w:widowControl w:val="0"/>
        <w:spacing w:line="360" w:lineRule="auto"/>
        <w:rPr>
          <w:rFonts w:hint="eastAsia" w:ascii="仿宋" w:hAnsi="仿宋" w:eastAsia="仿宋" w:cs="仿宋"/>
          <w:b/>
          <w:sz w:val="21"/>
          <w:szCs w:val="21"/>
          <w:highlight w:val="none"/>
          <w:lang w:eastAsia="zh-CN"/>
        </w:rPr>
      </w:pPr>
      <w:bookmarkStart w:id="1" w:name="项目费用"/>
      <w:bookmarkEnd w:id="1"/>
      <w:r>
        <w:rPr>
          <w:rFonts w:hint="eastAsia" w:ascii="仿宋" w:hAnsi="仿宋" w:eastAsia="仿宋" w:cs="仿宋"/>
          <w:b/>
          <w:sz w:val="21"/>
          <w:szCs w:val="21"/>
          <w:highlight w:val="none"/>
        </w:rPr>
        <w:t>项目名称：</w:t>
      </w:r>
      <w:r>
        <w:rPr>
          <w:rFonts w:hint="eastAsia" w:ascii="仿宋" w:hAnsi="仿宋" w:eastAsia="仿宋" w:cs="仿宋"/>
          <w:b/>
          <w:sz w:val="21"/>
          <w:szCs w:val="21"/>
          <w:highlight w:val="none"/>
          <w:u w:val="single"/>
          <w:lang w:eastAsia="zh-CN"/>
        </w:rPr>
        <w:t xml:space="preserve">汇华水岸4栋家电采购安装服务 </w:t>
      </w:r>
    </w:p>
    <w:tbl>
      <w:tblPr>
        <w:tblStyle w:val="21"/>
        <w:tblW w:w="536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
        <w:gridCol w:w="707"/>
        <w:gridCol w:w="951"/>
        <w:gridCol w:w="1655"/>
        <w:gridCol w:w="1782"/>
        <w:gridCol w:w="800"/>
        <w:gridCol w:w="1323"/>
        <w:gridCol w:w="1252"/>
        <w:gridCol w:w="690"/>
        <w:gridCol w:w="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2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位置</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货物 名称</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参数规格</w:t>
            </w:r>
          </w:p>
          <w:p>
            <w:pPr>
              <w:pStyle w:val="2"/>
              <w:pageBreakBefore w:val="0"/>
              <w:suppressLineNumbers w:val="0"/>
              <w:kinsoku/>
              <w:wordWrap/>
              <w:overflowPunct/>
              <w:topLinePunct w:val="0"/>
              <w:autoSpaceDE/>
              <w:autoSpaceDN/>
              <w:bidi w:val="0"/>
              <w:adjustRightInd/>
              <w:snapToGrid/>
              <w:spacing w:beforeAutospacing="0" w:afterAutospacing="0" w:line="240" w:lineRule="exact"/>
              <w:ind w:left="0" w:leftChars="0" w:right="0" w:firstLine="0" w:firstLineChars="0"/>
              <w:jc w:val="center"/>
              <w:rPr>
                <w:rFonts w:hint="eastAsia"/>
              </w:rPr>
            </w:pPr>
            <w:r>
              <w:rPr>
                <w:rFonts w:hint="eastAsia" w:ascii="仿宋" w:hAnsi="仿宋" w:eastAsia="仿宋" w:cs="仿宋"/>
                <w:b/>
                <w:bCs/>
                <w:i w:val="0"/>
                <w:iCs w:val="0"/>
                <w:color w:val="000000"/>
                <w:sz w:val="24"/>
                <w:szCs w:val="24"/>
                <w:u w:val="none"/>
                <w:lang w:val="en-US" w:eastAsia="zh-CN"/>
              </w:rPr>
              <w:t>（可优于）</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参考样式</w:t>
            </w:r>
          </w:p>
          <w:p>
            <w:pPr>
              <w:pStyle w:val="2"/>
              <w:keepNext/>
              <w:keepLines/>
              <w:pageBreakBefore w:val="0"/>
              <w:widowControl w:val="0"/>
              <w:suppressLineNumbers w:val="0"/>
              <w:kinsoku/>
              <w:wordWrap/>
              <w:overflowPunct/>
              <w:topLinePunct w:val="0"/>
              <w:autoSpaceDE/>
              <w:autoSpaceDN/>
              <w:bidi w:val="0"/>
              <w:adjustRightInd/>
              <w:snapToGrid/>
              <w:spacing w:beforeAutospacing="0" w:afterAutospacing="0" w:line="240" w:lineRule="exact"/>
              <w:ind w:left="0" w:leftChars="0" w:right="0" w:firstLine="0" w:firstLineChars="0"/>
              <w:jc w:val="center"/>
              <w:textAlignment w:val="auto"/>
              <w:rPr>
                <w:rFonts w:hint="eastAsia"/>
              </w:rPr>
            </w:pP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所投品牌</w:t>
            </w: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lang w:val="en-US" w:eastAsia="zh-CN"/>
              </w:rPr>
            </w:pPr>
            <w:r>
              <w:rPr>
                <w:rFonts w:hint="eastAsia" w:ascii="仿宋" w:hAnsi="仿宋" w:eastAsia="仿宋" w:cs="仿宋"/>
                <w:b/>
                <w:bCs/>
                <w:i w:val="0"/>
                <w:iCs w:val="0"/>
                <w:color w:val="000000"/>
                <w:kern w:val="0"/>
                <w:sz w:val="24"/>
                <w:szCs w:val="24"/>
                <w:u w:val="none"/>
                <w:lang w:val="en-US" w:eastAsia="zh-CN" w:bidi="ar"/>
              </w:rPr>
              <w:t>含税单价（元）</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含税合价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lang w:val="en-US" w:eastAsia="zh-CN"/>
              </w:rPr>
            </w:pPr>
            <w:r>
              <w:rPr>
                <w:rFonts w:hint="eastAsia" w:ascii="仿宋" w:hAnsi="仿宋" w:eastAsia="仿宋" w:cs="仿宋"/>
                <w:b/>
                <w:bCs/>
                <w:i w:val="0"/>
                <w:iCs w:val="0"/>
                <w:color w:val="000000"/>
                <w:kern w:val="0"/>
                <w:sz w:val="24"/>
                <w:szCs w:val="24"/>
                <w:u w:val="none"/>
                <w:lang w:val="en-US" w:eastAsia="zh-CN" w:bidi="ar"/>
              </w:rPr>
              <w:t>（元）</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客厅</w:t>
            </w:r>
          </w:p>
        </w:tc>
        <w:tc>
          <w:tcPr>
            <w:tcW w:w="4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电视</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产品定位：智能电视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屏幕尺寸：50寸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分辨率：4K</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屏幕比例：16:9</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电源性能：220V/50Hz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产品能耗：110W-120W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含安装，安装含配件：普通底座。</w:t>
            </w:r>
          </w:p>
        </w:tc>
        <w:tc>
          <w:tcPr>
            <w:tcW w:w="8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43815</wp:posOffset>
                  </wp:positionH>
                  <wp:positionV relativeFrom="paragraph">
                    <wp:posOffset>1724660</wp:posOffset>
                  </wp:positionV>
                  <wp:extent cx="944880" cy="784860"/>
                  <wp:effectExtent l="0" t="0" r="7620" b="15240"/>
                  <wp:wrapNone/>
                  <wp:docPr id="4" name="图片_3"/>
                  <wp:cNvGraphicFramePr/>
                  <a:graphic xmlns:a="http://schemas.openxmlformats.org/drawingml/2006/main">
                    <a:graphicData uri="http://schemas.openxmlformats.org/drawingml/2006/picture">
                      <pic:pic xmlns:pic="http://schemas.openxmlformats.org/drawingml/2006/picture">
                        <pic:nvPicPr>
                          <pic:cNvPr id="4" name="图片_3"/>
                          <pic:cNvPicPr/>
                        </pic:nvPicPr>
                        <pic:blipFill>
                          <a:blip r:embed="rId10"/>
                          <a:stretch>
                            <a:fillRect/>
                          </a:stretch>
                        </pic:blipFill>
                        <pic:spPr>
                          <a:xfrm>
                            <a:off x="0" y="0"/>
                            <a:ext cx="944880" cy="784860"/>
                          </a:xfrm>
                          <a:prstGeom prst="rect">
                            <a:avLst/>
                          </a:prstGeom>
                          <a:noFill/>
                          <a:ln>
                            <a:noFill/>
                          </a:ln>
                        </pic:spPr>
                      </pic:pic>
                    </a:graphicData>
                  </a:graphic>
                </wp:anchor>
              </w:drawing>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p>
        </w:tc>
        <w:tc>
          <w:tcPr>
            <w:tcW w:w="6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p>
        </w:tc>
        <w:tc>
          <w:tcPr>
            <w:tcW w:w="3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33</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4"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阳台</w:t>
            </w:r>
          </w:p>
        </w:tc>
        <w:tc>
          <w:tcPr>
            <w:tcW w:w="4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洗衣机</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产品类别：波轮式            自动化程度：全自动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开门方式：顶开式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洗涤容量：8kg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脱水容量：8kg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能效等级：2级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电源性能：220V/50Hz</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firstLine="0" w:firstLineChars="0"/>
              <w:rPr>
                <w:rFonts w:hint="eastAsia" w:ascii="仿宋" w:hAnsi="仿宋" w:eastAsia="仿宋" w:cs="仿宋"/>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含安装。</w:t>
            </w:r>
          </w:p>
        </w:tc>
        <w:tc>
          <w:tcPr>
            <w:tcW w:w="8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7620</wp:posOffset>
                  </wp:positionH>
                  <wp:positionV relativeFrom="paragraph">
                    <wp:posOffset>1221105</wp:posOffset>
                  </wp:positionV>
                  <wp:extent cx="944245" cy="1165225"/>
                  <wp:effectExtent l="0" t="0" r="8255" b="15875"/>
                  <wp:wrapNone/>
                  <wp:docPr id="5" name="图片_10"/>
                  <wp:cNvGraphicFramePr/>
                  <a:graphic xmlns:a="http://schemas.openxmlformats.org/drawingml/2006/main">
                    <a:graphicData uri="http://schemas.openxmlformats.org/drawingml/2006/picture">
                      <pic:pic xmlns:pic="http://schemas.openxmlformats.org/drawingml/2006/picture">
                        <pic:nvPicPr>
                          <pic:cNvPr id="5" name="图片_10"/>
                          <pic:cNvPicPr/>
                        </pic:nvPicPr>
                        <pic:blipFill>
                          <a:blip r:embed="rId11"/>
                          <a:stretch>
                            <a:fillRect/>
                          </a:stretch>
                        </pic:blipFill>
                        <pic:spPr>
                          <a:xfrm>
                            <a:off x="0" y="0"/>
                            <a:ext cx="944245" cy="1165225"/>
                          </a:xfrm>
                          <a:prstGeom prst="rect">
                            <a:avLst/>
                          </a:prstGeom>
                          <a:noFill/>
                          <a:ln>
                            <a:noFill/>
                          </a:ln>
                        </pic:spPr>
                      </pic:pic>
                    </a:graphicData>
                  </a:graphic>
                </wp:anchor>
              </w:drawing>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p>
        </w:tc>
        <w:tc>
          <w:tcPr>
            <w:tcW w:w="6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p>
        </w:tc>
        <w:tc>
          <w:tcPr>
            <w:tcW w:w="3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33</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3"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厨房/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客厅</w:t>
            </w:r>
          </w:p>
        </w:tc>
        <w:tc>
          <w:tcPr>
            <w:tcW w:w="4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冰箱</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产品类型：三开门冰箱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总容积:约215L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制冷能力：1.5KG/24h</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温控方式：机械温控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制冷方式：直冷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能效等级：3级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电源性能：220V/50Hz</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firstLine="0" w:firstLineChars="0"/>
              <w:rPr>
                <w:rFonts w:hint="eastAsia" w:ascii="仿宋" w:hAnsi="仿宋" w:eastAsia="仿宋" w:cs="仿宋"/>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含安装。</w:t>
            </w:r>
          </w:p>
        </w:tc>
        <w:tc>
          <w:tcPr>
            <w:tcW w:w="8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135890</wp:posOffset>
                  </wp:positionH>
                  <wp:positionV relativeFrom="paragraph">
                    <wp:posOffset>1264920</wp:posOffset>
                  </wp:positionV>
                  <wp:extent cx="706120" cy="1457960"/>
                  <wp:effectExtent l="0" t="0" r="17780" b="8890"/>
                  <wp:wrapNone/>
                  <wp:docPr id="6" name="图片_7"/>
                  <wp:cNvGraphicFramePr/>
                  <a:graphic xmlns:a="http://schemas.openxmlformats.org/drawingml/2006/main">
                    <a:graphicData uri="http://schemas.openxmlformats.org/drawingml/2006/picture">
                      <pic:pic xmlns:pic="http://schemas.openxmlformats.org/drawingml/2006/picture">
                        <pic:nvPicPr>
                          <pic:cNvPr id="6" name="图片_7"/>
                          <pic:cNvPicPr/>
                        </pic:nvPicPr>
                        <pic:blipFill>
                          <a:blip r:embed="rId12"/>
                          <a:stretch>
                            <a:fillRect/>
                          </a:stretch>
                        </pic:blipFill>
                        <pic:spPr>
                          <a:xfrm>
                            <a:off x="0" y="0"/>
                            <a:ext cx="706120" cy="1457960"/>
                          </a:xfrm>
                          <a:prstGeom prst="rect">
                            <a:avLst/>
                          </a:prstGeom>
                          <a:noFill/>
                          <a:ln>
                            <a:noFill/>
                          </a:ln>
                        </pic:spPr>
                      </pic:pic>
                    </a:graphicData>
                  </a:graphic>
                </wp:anchor>
              </w:drawing>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p>
        </w:tc>
        <w:tc>
          <w:tcPr>
            <w:tcW w:w="6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p>
        </w:tc>
        <w:tc>
          <w:tcPr>
            <w:tcW w:w="3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33</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洗手间</w:t>
            </w: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燃气热水器</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安装环境：浴室外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容量：13L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定额功率：48W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额定热负荷：30KW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电源规格：220V/50Hz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能效等级：2级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含安装，安装含配件，含不锈钢波纹管2条、不锈钢波纹烟管/不锈钢烟管1条。</w:t>
            </w:r>
          </w:p>
        </w:tc>
        <w:tc>
          <w:tcPr>
            <w:tcW w:w="8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4"/>
                <w:szCs w:val="24"/>
                <w:u w:val="none"/>
                <w:bdr w:val="single" w:color="000000" w:sz="4" w:space="0"/>
                <w:lang w:val="en-US" w:eastAsia="zh-CN" w:bidi="ar"/>
              </w:rPr>
            </w:pPr>
            <w:r>
              <w:rPr>
                <w:rFonts w:hint="default"/>
              </w:rPr>
              <w:drawing>
                <wp:anchor distT="0" distB="0" distL="114300" distR="114300" simplePos="0" relativeHeight="251666432" behindDoc="0" locked="0" layoutInCell="1" allowOverlap="1">
                  <wp:simplePos x="0" y="0"/>
                  <wp:positionH relativeFrom="column">
                    <wp:posOffset>17145</wp:posOffset>
                  </wp:positionH>
                  <wp:positionV relativeFrom="paragraph">
                    <wp:posOffset>1184275</wp:posOffset>
                  </wp:positionV>
                  <wp:extent cx="1002665" cy="1210310"/>
                  <wp:effectExtent l="0" t="0" r="6985" b="8890"/>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3"/>
                          <a:stretch>
                            <a:fillRect/>
                          </a:stretch>
                        </pic:blipFill>
                        <pic:spPr>
                          <a:xfrm>
                            <a:off x="0" y="0"/>
                            <a:ext cx="1002665" cy="1210310"/>
                          </a:xfrm>
                          <a:prstGeom prst="rect">
                            <a:avLst/>
                          </a:prstGeom>
                          <a:noFill/>
                          <a:ln>
                            <a:noFill/>
                          </a:ln>
                        </pic:spPr>
                      </pic:pic>
                    </a:graphicData>
                  </a:graphic>
                </wp:anchor>
              </w:drawing>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p>
        </w:tc>
        <w:tc>
          <w:tcPr>
            <w:tcW w:w="6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p>
        </w:tc>
        <w:tc>
          <w:tcPr>
            <w:tcW w:w="3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58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lang w:val="en-US" w:eastAsia="zh-CN"/>
              </w:rPr>
              <w:t>总报价   （含税）</w:t>
            </w:r>
          </w:p>
        </w:tc>
        <w:tc>
          <w:tcPr>
            <w:tcW w:w="4419"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大写：人民币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拾</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万  仟  佰  拾  元  角  分</w:t>
            </w:r>
          </w:p>
          <w:p>
            <w:pPr>
              <w:keepNext w:val="0"/>
              <w:keepLines w:val="0"/>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58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税率</w:t>
            </w:r>
          </w:p>
        </w:tc>
        <w:tc>
          <w:tcPr>
            <w:tcW w:w="12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发票类型</w:t>
            </w:r>
          </w:p>
        </w:tc>
        <w:tc>
          <w:tcPr>
            <w:tcW w:w="2245"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58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联系人</w:t>
            </w:r>
          </w:p>
        </w:tc>
        <w:tc>
          <w:tcPr>
            <w:tcW w:w="12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联系电话</w:t>
            </w:r>
          </w:p>
        </w:tc>
        <w:tc>
          <w:tcPr>
            <w:tcW w:w="2245"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r>
    </w:tbl>
    <w:p>
      <w:pPr>
        <w:pStyle w:val="31"/>
        <w:numPr>
          <w:ilvl w:val="0"/>
          <w:numId w:val="0"/>
        </w:numPr>
        <w:tabs>
          <w:tab w:val="left" w:pos="553"/>
          <w:tab w:val="left" w:pos="554"/>
        </w:tabs>
        <w:spacing w:before="110" w:after="0" w:line="240" w:lineRule="auto"/>
        <w:ind w:right="0" w:rightChars="0"/>
        <w:jc w:val="left"/>
        <w:rPr>
          <w:rFonts w:hint="eastAsia"/>
          <w:highlight w:val="none"/>
          <w:lang w:val="en-US" w:eastAsia="zh-CN"/>
        </w:rPr>
      </w:pPr>
      <w:r>
        <w:rPr>
          <w:rFonts w:hint="eastAsia"/>
          <w:highlight w:val="none"/>
          <w:lang w:val="en-US" w:eastAsia="zh-CN"/>
        </w:rPr>
        <w:t xml:space="preserve">                                                         </w:t>
      </w:r>
    </w:p>
    <w:p>
      <w:pPr>
        <w:pStyle w:val="31"/>
        <w:numPr>
          <w:ilvl w:val="0"/>
          <w:numId w:val="0"/>
        </w:numPr>
        <w:tabs>
          <w:tab w:val="left" w:pos="553"/>
          <w:tab w:val="left" w:pos="554"/>
        </w:tabs>
        <w:spacing w:before="110" w:after="0" w:line="240" w:lineRule="auto"/>
        <w:ind w:right="0" w:rightChars="0"/>
        <w:jc w:val="left"/>
        <w:rPr>
          <w:rFonts w:hint="eastAsia"/>
          <w:highlight w:val="none"/>
          <w:lang w:val="en-US" w:eastAsia="zh-CN"/>
        </w:rPr>
      </w:pPr>
    </w:p>
    <w:p>
      <w:pPr>
        <w:pStyle w:val="31"/>
        <w:numPr>
          <w:ilvl w:val="0"/>
          <w:numId w:val="0"/>
        </w:numPr>
        <w:tabs>
          <w:tab w:val="left" w:pos="553"/>
          <w:tab w:val="left" w:pos="554"/>
        </w:tabs>
        <w:spacing w:before="110" w:after="0" w:line="240" w:lineRule="auto"/>
        <w:ind w:right="0" w:rightChars="0"/>
        <w:jc w:val="left"/>
        <w:rPr>
          <w:rFonts w:hint="eastAsia"/>
          <w:highlight w:val="none"/>
          <w:lang w:val="en-US" w:eastAsia="zh-CN"/>
        </w:rPr>
      </w:pPr>
    </w:p>
    <w:p>
      <w:pPr>
        <w:pStyle w:val="31"/>
        <w:numPr>
          <w:ilvl w:val="0"/>
          <w:numId w:val="0"/>
        </w:numPr>
        <w:tabs>
          <w:tab w:val="left" w:pos="553"/>
          <w:tab w:val="left" w:pos="554"/>
        </w:tabs>
        <w:spacing w:before="110" w:after="0" w:line="240" w:lineRule="auto"/>
        <w:ind w:right="0" w:rightChars="0"/>
        <w:jc w:val="left"/>
        <w:rPr>
          <w:rFonts w:hint="eastAsia" w:ascii="仿宋" w:hAnsi="仿宋" w:eastAsia="仿宋" w:cs="仿宋"/>
          <w:bCs/>
          <w:kern w:val="2"/>
          <w:sz w:val="24"/>
          <w:szCs w:val="24"/>
          <w:highlight w:val="none"/>
          <w:lang w:val="en-US" w:eastAsia="zh-CN" w:bidi="ar-SA"/>
        </w:rPr>
      </w:pPr>
      <w:r>
        <w:rPr>
          <w:rFonts w:hint="eastAsia"/>
          <w:highlight w:val="none"/>
          <w:lang w:val="en-US" w:eastAsia="zh-CN"/>
        </w:rPr>
        <w:t xml:space="preserve">                                                         </w:t>
      </w:r>
      <w:r>
        <w:rPr>
          <w:rFonts w:hint="eastAsia" w:ascii="仿宋" w:hAnsi="仿宋" w:eastAsia="仿宋" w:cs="仿宋"/>
          <w:bCs/>
          <w:kern w:val="2"/>
          <w:sz w:val="24"/>
          <w:szCs w:val="24"/>
          <w:highlight w:val="none"/>
          <w:lang w:val="en-US" w:eastAsia="zh-CN" w:bidi="ar-SA"/>
        </w:rPr>
        <w:t xml:space="preserve">    报价单位：</w:t>
      </w:r>
    </w:p>
    <w:p>
      <w:pPr>
        <w:pStyle w:val="31"/>
        <w:numPr>
          <w:ilvl w:val="0"/>
          <w:numId w:val="0"/>
        </w:numPr>
        <w:tabs>
          <w:tab w:val="left" w:pos="553"/>
          <w:tab w:val="left" w:pos="554"/>
        </w:tabs>
        <w:spacing w:before="110" w:after="0" w:line="240" w:lineRule="auto"/>
        <w:ind w:right="0" w:rightChars="0"/>
        <w:jc w:val="left"/>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 xml:space="preserve">                                                      报价日期：  年  月  日</w:t>
      </w:r>
    </w:p>
    <w:sectPr>
      <w:footerReference r:id="rId8" w:type="default"/>
      <w:pgSz w:w="11906" w:h="16838"/>
      <w:pgMar w:top="1417" w:right="1304" w:bottom="1134" w:left="1304" w:header="567" w:footer="992" w:gutter="113"/>
      <w:pgBorders>
        <w:top w:val="none" w:sz="0" w:space="0"/>
        <w:left w:val="none" w:sz="0" w:space="0"/>
        <w:bottom w:val="none" w:sz="0" w:space="0"/>
        <w:right w:val="none" w:sz="0" w:space="0"/>
      </w:pgBorder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Che">
    <w:altName w:val="Malgun Gothic"/>
    <w:panose1 w:val="02030609000101010101"/>
    <w:charset w:val="81"/>
    <w:family w:val="auto"/>
    <w:pitch w:val="default"/>
    <w:sig w:usb0="00000000" w:usb1="00000000" w:usb2="00000030" w:usb3="00000000" w:csb0="4008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eastAsia="宋体"/>
        <w:sz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980"/>
        </w:tabs>
        <w:ind w:left="980" w:hanging="4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21C5A798"/>
    <w:multiLevelType w:val="multilevel"/>
    <w:tmpl w:val="21C5A798"/>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6E573F1F"/>
    <w:multiLevelType w:val="singleLevel"/>
    <w:tmpl w:val="6E573F1F"/>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NzhkZDU1M2VlMDZiZDFkZWI2YTRlNWMxYTMxNTUifQ=="/>
  </w:docVars>
  <w:rsids>
    <w:rsidRoot w:val="00E24EE8"/>
    <w:rsid w:val="0011565E"/>
    <w:rsid w:val="0014171A"/>
    <w:rsid w:val="00161D2F"/>
    <w:rsid w:val="001B06C5"/>
    <w:rsid w:val="001B7265"/>
    <w:rsid w:val="001D0A15"/>
    <w:rsid w:val="00200BA9"/>
    <w:rsid w:val="002061C5"/>
    <w:rsid w:val="0024229E"/>
    <w:rsid w:val="002622CC"/>
    <w:rsid w:val="00275049"/>
    <w:rsid w:val="002A781F"/>
    <w:rsid w:val="003209BC"/>
    <w:rsid w:val="00346111"/>
    <w:rsid w:val="0035622F"/>
    <w:rsid w:val="003C42F9"/>
    <w:rsid w:val="003F5513"/>
    <w:rsid w:val="004A479D"/>
    <w:rsid w:val="00514701"/>
    <w:rsid w:val="0052540D"/>
    <w:rsid w:val="005B23B0"/>
    <w:rsid w:val="005B74B0"/>
    <w:rsid w:val="005F78F6"/>
    <w:rsid w:val="0062374E"/>
    <w:rsid w:val="006B0B5A"/>
    <w:rsid w:val="006D360D"/>
    <w:rsid w:val="00716ECF"/>
    <w:rsid w:val="0072142F"/>
    <w:rsid w:val="00735278"/>
    <w:rsid w:val="00760346"/>
    <w:rsid w:val="00767430"/>
    <w:rsid w:val="00775A12"/>
    <w:rsid w:val="0077777F"/>
    <w:rsid w:val="00792840"/>
    <w:rsid w:val="007B2AEE"/>
    <w:rsid w:val="008313A1"/>
    <w:rsid w:val="008840AB"/>
    <w:rsid w:val="00884BFF"/>
    <w:rsid w:val="009156EB"/>
    <w:rsid w:val="00924B4B"/>
    <w:rsid w:val="00A7107B"/>
    <w:rsid w:val="00A74300"/>
    <w:rsid w:val="00A91B47"/>
    <w:rsid w:val="00AF03E8"/>
    <w:rsid w:val="00B00944"/>
    <w:rsid w:val="00B521D4"/>
    <w:rsid w:val="00B62E63"/>
    <w:rsid w:val="00BE0ECA"/>
    <w:rsid w:val="00D00DC9"/>
    <w:rsid w:val="00D12C16"/>
    <w:rsid w:val="00D43794"/>
    <w:rsid w:val="00DB01C4"/>
    <w:rsid w:val="00DC0E56"/>
    <w:rsid w:val="00DD124A"/>
    <w:rsid w:val="00DE052B"/>
    <w:rsid w:val="00E15907"/>
    <w:rsid w:val="00E24EE8"/>
    <w:rsid w:val="00E4042E"/>
    <w:rsid w:val="00E47B1F"/>
    <w:rsid w:val="00E5388B"/>
    <w:rsid w:val="00ED35DC"/>
    <w:rsid w:val="00EF2222"/>
    <w:rsid w:val="00F34600"/>
    <w:rsid w:val="00F61E76"/>
    <w:rsid w:val="00F83B0F"/>
    <w:rsid w:val="00F96022"/>
    <w:rsid w:val="00FA2286"/>
    <w:rsid w:val="00FC28CC"/>
    <w:rsid w:val="00FD00D9"/>
    <w:rsid w:val="00FE7993"/>
    <w:rsid w:val="01761641"/>
    <w:rsid w:val="01A04DF4"/>
    <w:rsid w:val="02255E67"/>
    <w:rsid w:val="027C7625"/>
    <w:rsid w:val="03205C80"/>
    <w:rsid w:val="03B61BE9"/>
    <w:rsid w:val="04F82AC3"/>
    <w:rsid w:val="04F96FF0"/>
    <w:rsid w:val="052A31D2"/>
    <w:rsid w:val="054548D5"/>
    <w:rsid w:val="0585466D"/>
    <w:rsid w:val="05A73C81"/>
    <w:rsid w:val="05A84DA6"/>
    <w:rsid w:val="06562078"/>
    <w:rsid w:val="06966929"/>
    <w:rsid w:val="072C17B8"/>
    <w:rsid w:val="074C1058"/>
    <w:rsid w:val="08A44AA4"/>
    <w:rsid w:val="08AB735E"/>
    <w:rsid w:val="09213731"/>
    <w:rsid w:val="0AA82AC5"/>
    <w:rsid w:val="0B207D03"/>
    <w:rsid w:val="0B687C9D"/>
    <w:rsid w:val="0B6D582A"/>
    <w:rsid w:val="0C5C59F9"/>
    <w:rsid w:val="0D9971C5"/>
    <w:rsid w:val="0DAF1339"/>
    <w:rsid w:val="0DB228A0"/>
    <w:rsid w:val="0DE622CC"/>
    <w:rsid w:val="0DE96453"/>
    <w:rsid w:val="0E154A41"/>
    <w:rsid w:val="0E5826BE"/>
    <w:rsid w:val="0EA85594"/>
    <w:rsid w:val="0EAB53CC"/>
    <w:rsid w:val="0ECD14A0"/>
    <w:rsid w:val="0EF963C2"/>
    <w:rsid w:val="0F3418B8"/>
    <w:rsid w:val="0F8D5261"/>
    <w:rsid w:val="11997323"/>
    <w:rsid w:val="12680302"/>
    <w:rsid w:val="12C51A19"/>
    <w:rsid w:val="140D4690"/>
    <w:rsid w:val="144900FD"/>
    <w:rsid w:val="14631B15"/>
    <w:rsid w:val="14807F0B"/>
    <w:rsid w:val="14DD2194"/>
    <w:rsid w:val="156409F2"/>
    <w:rsid w:val="1567123F"/>
    <w:rsid w:val="159130F0"/>
    <w:rsid w:val="15B00825"/>
    <w:rsid w:val="15C93D1D"/>
    <w:rsid w:val="15E84905"/>
    <w:rsid w:val="16211CAC"/>
    <w:rsid w:val="167873B3"/>
    <w:rsid w:val="19096AAB"/>
    <w:rsid w:val="19446EFD"/>
    <w:rsid w:val="19765685"/>
    <w:rsid w:val="1A707D06"/>
    <w:rsid w:val="1A777E3A"/>
    <w:rsid w:val="1ADE0A3B"/>
    <w:rsid w:val="1B854D15"/>
    <w:rsid w:val="1BC74B42"/>
    <w:rsid w:val="1C0622B6"/>
    <w:rsid w:val="1C2A4B6F"/>
    <w:rsid w:val="1CE71FC3"/>
    <w:rsid w:val="1CF738C0"/>
    <w:rsid w:val="1D59658A"/>
    <w:rsid w:val="1EB758CF"/>
    <w:rsid w:val="1F3A17F6"/>
    <w:rsid w:val="1F432FA8"/>
    <w:rsid w:val="1FE2361A"/>
    <w:rsid w:val="20087442"/>
    <w:rsid w:val="205E1051"/>
    <w:rsid w:val="20EE1766"/>
    <w:rsid w:val="21142433"/>
    <w:rsid w:val="21C41372"/>
    <w:rsid w:val="21D35E1D"/>
    <w:rsid w:val="21E53169"/>
    <w:rsid w:val="222A0537"/>
    <w:rsid w:val="22BD7A92"/>
    <w:rsid w:val="23874E3B"/>
    <w:rsid w:val="23A62AD5"/>
    <w:rsid w:val="246833E4"/>
    <w:rsid w:val="24C53D0D"/>
    <w:rsid w:val="25CC089E"/>
    <w:rsid w:val="270B2537"/>
    <w:rsid w:val="275F7409"/>
    <w:rsid w:val="27CB3051"/>
    <w:rsid w:val="27D9605D"/>
    <w:rsid w:val="28A07178"/>
    <w:rsid w:val="28D240E8"/>
    <w:rsid w:val="29237D79"/>
    <w:rsid w:val="29C01782"/>
    <w:rsid w:val="2AD91CD7"/>
    <w:rsid w:val="2B784C41"/>
    <w:rsid w:val="2B873E2B"/>
    <w:rsid w:val="2B9E76FA"/>
    <w:rsid w:val="2C0E49F9"/>
    <w:rsid w:val="2C1A30EE"/>
    <w:rsid w:val="2CEC3D70"/>
    <w:rsid w:val="2CFF772C"/>
    <w:rsid w:val="2D9C53AE"/>
    <w:rsid w:val="2DE72E17"/>
    <w:rsid w:val="2E1F5D52"/>
    <w:rsid w:val="2E2C61ED"/>
    <w:rsid w:val="2E5F3A77"/>
    <w:rsid w:val="2E9278DB"/>
    <w:rsid w:val="2EDD2599"/>
    <w:rsid w:val="2F4C6FD2"/>
    <w:rsid w:val="2FBD08A8"/>
    <w:rsid w:val="2FF3265D"/>
    <w:rsid w:val="30095B68"/>
    <w:rsid w:val="30540A3D"/>
    <w:rsid w:val="311F39DD"/>
    <w:rsid w:val="31277C19"/>
    <w:rsid w:val="322628B1"/>
    <w:rsid w:val="32D940A4"/>
    <w:rsid w:val="32D9426A"/>
    <w:rsid w:val="32FD0C5D"/>
    <w:rsid w:val="33F87DC4"/>
    <w:rsid w:val="34123FB0"/>
    <w:rsid w:val="35612B3B"/>
    <w:rsid w:val="36A22668"/>
    <w:rsid w:val="36BE01A7"/>
    <w:rsid w:val="36C925E1"/>
    <w:rsid w:val="36FE0C55"/>
    <w:rsid w:val="37706156"/>
    <w:rsid w:val="377652A6"/>
    <w:rsid w:val="37DE5C9E"/>
    <w:rsid w:val="37E66B6B"/>
    <w:rsid w:val="38EC4671"/>
    <w:rsid w:val="39FA05AD"/>
    <w:rsid w:val="3A780FB6"/>
    <w:rsid w:val="3A816F18"/>
    <w:rsid w:val="3AA44932"/>
    <w:rsid w:val="3AC44A87"/>
    <w:rsid w:val="3B533634"/>
    <w:rsid w:val="3BF06C40"/>
    <w:rsid w:val="3C130DB5"/>
    <w:rsid w:val="3CDD6952"/>
    <w:rsid w:val="3D187F0A"/>
    <w:rsid w:val="3D456C40"/>
    <w:rsid w:val="3DE81156"/>
    <w:rsid w:val="3E937968"/>
    <w:rsid w:val="3EA32D7E"/>
    <w:rsid w:val="3F23224C"/>
    <w:rsid w:val="3F48612A"/>
    <w:rsid w:val="3FA51812"/>
    <w:rsid w:val="405A6751"/>
    <w:rsid w:val="40A12BF6"/>
    <w:rsid w:val="40A93F75"/>
    <w:rsid w:val="413E233C"/>
    <w:rsid w:val="41B162C7"/>
    <w:rsid w:val="41B974E8"/>
    <w:rsid w:val="42E613AE"/>
    <w:rsid w:val="431B56E1"/>
    <w:rsid w:val="442A7C0E"/>
    <w:rsid w:val="4437710D"/>
    <w:rsid w:val="44DE40B8"/>
    <w:rsid w:val="45102766"/>
    <w:rsid w:val="451263BA"/>
    <w:rsid w:val="45787672"/>
    <w:rsid w:val="46135751"/>
    <w:rsid w:val="4715428C"/>
    <w:rsid w:val="482937CE"/>
    <w:rsid w:val="48330733"/>
    <w:rsid w:val="48E96CFE"/>
    <w:rsid w:val="49A737B6"/>
    <w:rsid w:val="4A6C6EE9"/>
    <w:rsid w:val="4A9C2975"/>
    <w:rsid w:val="4BC42139"/>
    <w:rsid w:val="4BCB7DFD"/>
    <w:rsid w:val="4BFC6C21"/>
    <w:rsid w:val="4C0D24C7"/>
    <w:rsid w:val="4C5D791C"/>
    <w:rsid w:val="4D064A33"/>
    <w:rsid w:val="4DF46956"/>
    <w:rsid w:val="4EAA4C5C"/>
    <w:rsid w:val="4EFB1BF5"/>
    <w:rsid w:val="4F413A90"/>
    <w:rsid w:val="4F9A7EBF"/>
    <w:rsid w:val="502730CE"/>
    <w:rsid w:val="509F741B"/>
    <w:rsid w:val="518B14EB"/>
    <w:rsid w:val="51AD593F"/>
    <w:rsid w:val="51ED7846"/>
    <w:rsid w:val="52224399"/>
    <w:rsid w:val="52902205"/>
    <w:rsid w:val="529573EA"/>
    <w:rsid w:val="52B23D87"/>
    <w:rsid w:val="53127FDC"/>
    <w:rsid w:val="53487B2F"/>
    <w:rsid w:val="54397FFD"/>
    <w:rsid w:val="543E1A2B"/>
    <w:rsid w:val="54CE3394"/>
    <w:rsid w:val="557C2439"/>
    <w:rsid w:val="56807BFD"/>
    <w:rsid w:val="568F67BF"/>
    <w:rsid w:val="56F46769"/>
    <w:rsid w:val="57052F41"/>
    <w:rsid w:val="586F1D19"/>
    <w:rsid w:val="598C1B46"/>
    <w:rsid w:val="5A0710E7"/>
    <w:rsid w:val="5A8D09D4"/>
    <w:rsid w:val="5ABB3C67"/>
    <w:rsid w:val="5ABC011C"/>
    <w:rsid w:val="5B2260B4"/>
    <w:rsid w:val="5BEF23CF"/>
    <w:rsid w:val="5C1116CD"/>
    <w:rsid w:val="5C4A2E20"/>
    <w:rsid w:val="5C65776E"/>
    <w:rsid w:val="5CC56C7C"/>
    <w:rsid w:val="5D1E7431"/>
    <w:rsid w:val="5D6F18BB"/>
    <w:rsid w:val="5D8C2891"/>
    <w:rsid w:val="5D964DBC"/>
    <w:rsid w:val="5DA32C74"/>
    <w:rsid w:val="5E3136A2"/>
    <w:rsid w:val="5EE12060"/>
    <w:rsid w:val="5F016DF3"/>
    <w:rsid w:val="5F2F4E84"/>
    <w:rsid w:val="611754A4"/>
    <w:rsid w:val="611C5A11"/>
    <w:rsid w:val="61DE78DF"/>
    <w:rsid w:val="621900DC"/>
    <w:rsid w:val="62791ADA"/>
    <w:rsid w:val="62813FB0"/>
    <w:rsid w:val="62A31AAE"/>
    <w:rsid w:val="631A0783"/>
    <w:rsid w:val="633E40C1"/>
    <w:rsid w:val="63A7263F"/>
    <w:rsid w:val="64AD7EED"/>
    <w:rsid w:val="64B6372D"/>
    <w:rsid w:val="6525607F"/>
    <w:rsid w:val="653A45DA"/>
    <w:rsid w:val="65AC3525"/>
    <w:rsid w:val="65B138F4"/>
    <w:rsid w:val="65F21768"/>
    <w:rsid w:val="661B39C6"/>
    <w:rsid w:val="66DC0B12"/>
    <w:rsid w:val="66F634FD"/>
    <w:rsid w:val="66FA5CF8"/>
    <w:rsid w:val="67044A56"/>
    <w:rsid w:val="674F15BB"/>
    <w:rsid w:val="675D144C"/>
    <w:rsid w:val="678853CE"/>
    <w:rsid w:val="68546A84"/>
    <w:rsid w:val="686D2BB4"/>
    <w:rsid w:val="68FC3C7B"/>
    <w:rsid w:val="69280658"/>
    <w:rsid w:val="692A4E0D"/>
    <w:rsid w:val="697350DE"/>
    <w:rsid w:val="69972F0E"/>
    <w:rsid w:val="69BA63DD"/>
    <w:rsid w:val="69F01BDF"/>
    <w:rsid w:val="6A35447D"/>
    <w:rsid w:val="6A65358D"/>
    <w:rsid w:val="6A7709C6"/>
    <w:rsid w:val="6A9F5903"/>
    <w:rsid w:val="6B184736"/>
    <w:rsid w:val="6B1E49CF"/>
    <w:rsid w:val="6D0D4B78"/>
    <w:rsid w:val="6D344FFF"/>
    <w:rsid w:val="6D497D47"/>
    <w:rsid w:val="6D5A4FEE"/>
    <w:rsid w:val="6DC778F5"/>
    <w:rsid w:val="6DDF4EB3"/>
    <w:rsid w:val="6EEE685D"/>
    <w:rsid w:val="6F3A3E12"/>
    <w:rsid w:val="70036B7D"/>
    <w:rsid w:val="702749B8"/>
    <w:rsid w:val="706C676D"/>
    <w:rsid w:val="71671087"/>
    <w:rsid w:val="71A81196"/>
    <w:rsid w:val="72107D75"/>
    <w:rsid w:val="732315CB"/>
    <w:rsid w:val="739D2780"/>
    <w:rsid w:val="7419389D"/>
    <w:rsid w:val="741F4962"/>
    <w:rsid w:val="742F7E56"/>
    <w:rsid w:val="75072B49"/>
    <w:rsid w:val="75911758"/>
    <w:rsid w:val="76086E08"/>
    <w:rsid w:val="76432F80"/>
    <w:rsid w:val="76570CC4"/>
    <w:rsid w:val="76C90024"/>
    <w:rsid w:val="77534C5B"/>
    <w:rsid w:val="77821143"/>
    <w:rsid w:val="77FA5285"/>
    <w:rsid w:val="783021C6"/>
    <w:rsid w:val="78622135"/>
    <w:rsid w:val="78DC767C"/>
    <w:rsid w:val="792D171A"/>
    <w:rsid w:val="798A078F"/>
    <w:rsid w:val="79C71DB4"/>
    <w:rsid w:val="7A027E0C"/>
    <w:rsid w:val="7A1428C4"/>
    <w:rsid w:val="7A795858"/>
    <w:rsid w:val="7B894C00"/>
    <w:rsid w:val="7C5B4CE1"/>
    <w:rsid w:val="7C7310D0"/>
    <w:rsid w:val="7CBF10B6"/>
    <w:rsid w:val="7E1F48F6"/>
    <w:rsid w:val="7FCC0934"/>
    <w:rsid w:val="7FD8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qFormat="1" w:unhideWhenUsed="0" w:uiPriority="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240" w:after="240"/>
      <w:ind w:firstLine="0" w:firstLineChars="0"/>
      <w:jc w:val="left"/>
      <w:outlineLvl w:val="0"/>
    </w:pPr>
    <w:rPr>
      <w:rFonts w:eastAsia="宋体"/>
      <w:b/>
      <w:bCs/>
      <w:kern w:val="44"/>
      <w:sz w:val="32"/>
      <w:szCs w:val="44"/>
    </w:rPr>
  </w:style>
  <w:style w:type="paragraph" w:styleId="2">
    <w:name w:val="heading 2"/>
    <w:basedOn w:val="1"/>
    <w:next w:val="1"/>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paragraph" w:styleId="4">
    <w:name w:val="heading 3"/>
    <w:basedOn w:val="1"/>
    <w:next w:val="1"/>
    <w:qFormat/>
    <w:uiPriority w:val="0"/>
    <w:pPr>
      <w:keepNext/>
      <w:keepLines/>
      <w:tabs>
        <w:tab w:val="left" w:pos="709"/>
      </w:tabs>
      <w:spacing w:before="260" w:after="260" w:line="413" w:lineRule="auto"/>
      <w:ind w:left="1418" w:hanging="567"/>
      <w:outlineLvl w:val="2"/>
    </w:pPr>
    <w:rPr>
      <w:b/>
      <w:bCs/>
      <w:kern w:val="2"/>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textAlignment w:val="baseline"/>
    </w:pPr>
    <w:rPr>
      <w:rFonts w:hAnsi="Times New Roman" w:cs="Times New Roman"/>
      <w:sz w:val="34"/>
      <w:szCs w:val="20"/>
    </w:rPr>
  </w:style>
  <w:style w:type="paragraph" w:styleId="6">
    <w:name w:val="Body Text 3"/>
    <w:basedOn w:val="1"/>
    <w:qFormat/>
    <w:uiPriority w:val="0"/>
    <w:pPr>
      <w:spacing w:after="120"/>
    </w:pPr>
    <w:rPr>
      <w:rFonts w:ascii="Times New Roman"/>
      <w:kern w:val="2"/>
      <w:sz w:val="16"/>
      <w:szCs w:val="16"/>
    </w:rPr>
  </w:style>
  <w:style w:type="paragraph" w:styleId="7">
    <w:name w:val="Body Text"/>
    <w:basedOn w:val="1"/>
    <w:next w:val="1"/>
    <w:unhideWhenUsed/>
    <w:qFormat/>
    <w:uiPriority w:val="99"/>
    <w:pPr>
      <w:spacing w:after="120"/>
    </w:pPr>
  </w:style>
  <w:style w:type="paragraph" w:styleId="8">
    <w:name w:val="Body Text Indent"/>
    <w:basedOn w:val="1"/>
    <w:next w:val="1"/>
    <w:qFormat/>
    <w:uiPriority w:val="0"/>
    <w:pPr>
      <w:adjustRightInd w:val="0"/>
      <w:snapToGrid w:val="0"/>
      <w:spacing w:line="360" w:lineRule="auto"/>
      <w:ind w:firstLine="420" w:firstLineChars="200"/>
    </w:pPr>
    <w:rPr>
      <w:rFonts w:ascii="Times New Roman"/>
      <w:kern w:val="2"/>
      <w:sz w:val="21"/>
      <w:szCs w:val="24"/>
    </w:rPr>
  </w:style>
  <w:style w:type="paragraph" w:styleId="9">
    <w:name w:val="toc 5"/>
    <w:basedOn w:val="1"/>
    <w:next w:val="1"/>
    <w:semiHidden/>
    <w:qFormat/>
    <w:uiPriority w:val="0"/>
    <w:pPr>
      <w:ind w:left="800"/>
    </w:pPr>
  </w:style>
  <w:style w:type="paragraph" w:styleId="10">
    <w:name w:val="Plain Text"/>
    <w:basedOn w:val="1"/>
    <w:qFormat/>
    <w:uiPriority w:val="0"/>
    <w:rPr>
      <w:rFonts w:hAnsi="Courier New" w:cs="Courier New"/>
      <w:kern w:val="2"/>
      <w:sz w:val="21"/>
      <w:szCs w:val="21"/>
    </w:rPr>
  </w:style>
  <w:style w:type="paragraph" w:styleId="11">
    <w:name w:val="Body Text Indent 2"/>
    <w:basedOn w:val="1"/>
    <w:qFormat/>
    <w:uiPriority w:val="0"/>
    <w:pPr>
      <w:ind w:firstLine="510" w:firstLineChars="0"/>
    </w:pPr>
    <w:rPr>
      <w:rFonts w:ascii="Arial" w:hAnsi="Arial"/>
    </w:rPr>
  </w:style>
  <w:style w:type="paragraph" w:styleId="12">
    <w:name w:val="Balloon Text"/>
    <w:basedOn w:val="1"/>
    <w:link w:val="30"/>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keepLines/>
      <w:widowControl/>
      <w:tabs>
        <w:tab w:val="right" w:leader="dot" w:pos="8364"/>
      </w:tabs>
      <w:spacing w:line="360" w:lineRule="auto"/>
      <w:jc w:val="center"/>
    </w:pPr>
    <w:rPr>
      <w:rFonts w:ascii="宋体" w:hAnsi="宋体"/>
      <w:sz w:val="30"/>
      <w:szCs w:val="30"/>
    </w:rPr>
  </w:style>
  <w:style w:type="paragraph" w:styleId="16">
    <w:name w:val="Body Text Indent 3"/>
    <w:basedOn w:val="1"/>
    <w:qFormat/>
    <w:uiPriority w:val="0"/>
    <w:pPr>
      <w:adjustRightInd w:val="0"/>
      <w:snapToGrid w:val="0"/>
      <w:spacing w:line="360" w:lineRule="auto"/>
      <w:ind w:firstLine="560" w:firstLineChars="200"/>
    </w:pPr>
    <w:rPr>
      <w:rFonts w:ascii="宋体" w:hAnsi="宋体"/>
      <w:sz w:val="28"/>
    </w:rPr>
  </w:style>
  <w:style w:type="paragraph" w:styleId="17">
    <w:name w:val="toc 2"/>
    <w:basedOn w:val="1"/>
    <w:next w:val="1"/>
    <w:qFormat/>
    <w:uiPriority w:val="39"/>
    <w:pPr>
      <w:tabs>
        <w:tab w:val="left" w:pos="1680"/>
        <w:tab w:val="right" w:leader="dot" w:pos="8364"/>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w:basedOn w:val="1"/>
    <w:next w:val="1"/>
    <w:qFormat/>
    <w:uiPriority w:val="0"/>
    <w:pPr>
      <w:spacing w:after="120" w:line="240" w:lineRule="auto"/>
      <w:ind w:firstLine="420" w:firstLineChars="100"/>
    </w:pPr>
    <w:rPr>
      <w:rFonts w:ascii="Times New Roman" w:hAnsi="Times New Roman"/>
      <w:sz w:val="21"/>
    </w:rPr>
  </w:style>
  <w:style w:type="paragraph" w:styleId="20">
    <w:name w:val="Body Text First Indent 2"/>
    <w:basedOn w:val="8"/>
    <w:next w:val="5"/>
    <w:qFormat/>
    <w:uiPriority w:val="0"/>
    <w:pPr>
      <w:autoSpaceDE w:val="0"/>
      <w:autoSpaceDN w:val="0"/>
      <w:adjustRightInd w:val="0"/>
      <w:ind w:firstLine="420"/>
      <w:jc w:val="left"/>
    </w:pPr>
    <w:rPr>
      <w:rFonts w:ascii="Calibri" w:hAnsi="Calibri" w:eastAsia="宋体" w:cs="Times New Roman"/>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page number"/>
    <w:basedOn w:val="23"/>
    <w:qFormat/>
    <w:uiPriority w:val="0"/>
  </w:style>
  <w:style w:type="character" w:styleId="26">
    <w:name w:val="Hyperlink"/>
    <w:qFormat/>
    <w:uiPriority w:val="99"/>
    <w:rPr>
      <w:rFonts w:eastAsia="宋体"/>
      <w:color w:val="0000FF"/>
      <w:kern w:val="2"/>
      <w:sz w:val="24"/>
      <w:szCs w:val="24"/>
      <w:u w:val="single"/>
      <w:lang w:val="en-US" w:eastAsia="zh-CN" w:bidi="ar-SA"/>
    </w:rPr>
  </w:style>
  <w:style w:type="paragraph" w:customStyle="1" w:styleId="27">
    <w:name w:val="列出段落1"/>
    <w:basedOn w:val="1"/>
    <w:qFormat/>
    <w:uiPriority w:val="34"/>
    <w:pPr>
      <w:ind w:firstLine="420" w:firstLineChars="200"/>
    </w:pPr>
    <w:rPr>
      <w:rFonts w:ascii="Calibri" w:hAnsi="Calibri"/>
      <w:szCs w:val="22"/>
    </w:rPr>
  </w:style>
  <w:style w:type="character" w:customStyle="1" w:styleId="28">
    <w:name w:val="页眉 Char"/>
    <w:basedOn w:val="23"/>
    <w:link w:val="14"/>
    <w:qFormat/>
    <w:uiPriority w:val="0"/>
    <w:rPr>
      <w:rFonts w:ascii="Times New Roman" w:hAnsi="Times New Roman" w:eastAsia="宋体" w:cs="Times New Roman"/>
      <w:sz w:val="18"/>
      <w:szCs w:val="18"/>
    </w:rPr>
  </w:style>
  <w:style w:type="character" w:customStyle="1" w:styleId="29">
    <w:name w:val="页脚 Char"/>
    <w:basedOn w:val="23"/>
    <w:link w:val="13"/>
    <w:qFormat/>
    <w:uiPriority w:val="99"/>
    <w:rPr>
      <w:rFonts w:ascii="Times New Roman" w:hAnsi="Times New Roman" w:eastAsia="宋体" w:cs="Times New Roman"/>
      <w:sz w:val="18"/>
      <w:szCs w:val="18"/>
    </w:rPr>
  </w:style>
  <w:style w:type="character" w:customStyle="1" w:styleId="30">
    <w:name w:val="批注框文本 Char"/>
    <w:basedOn w:val="23"/>
    <w:link w:val="12"/>
    <w:semiHidden/>
    <w:qFormat/>
    <w:uiPriority w:val="99"/>
    <w:rPr>
      <w:rFonts w:ascii="Times New Roman" w:hAnsi="Times New Roman" w:eastAsia="宋体" w:cs="Times New Roman"/>
      <w:kern w:val="2"/>
      <w:sz w:val="18"/>
      <w:szCs w:val="18"/>
    </w:rPr>
  </w:style>
  <w:style w:type="paragraph" w:styleId="31">
    <w:name w:val="List Paragraph"/>
    <w:basedOn w:val="1"/>
    <w:qFormat/>
    <w:uiPriority w:val="99"/>
    <w:pPr>
      <w:ind w:firstLine="420" w:firstLineChars="200"/>
    </w:pPr>
    <w:rPr>
      <w:rFonts w:ascii="Calibri" w:hAnsi="Calibri"/>
      <w:szCs w:val="22"/>
    </w:rPr>
  </w:style>
  <w:style w:type="table" w:customStyle="1" w:styleId="32">
    <w:name w:val="网格型1"/>
    <w:basedOn w:val="2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
    <w:name w:val="网格型2"/>
    <w:basedOn w:val="2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4">
    <w:name w:val="网格型3"/>
    <w:basedOn w:val="2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6">
    <w:name w:val="Table Paragraph"/>
    <w:basedOn w:val="1"/>
    <w:qFormat/>
    <w:uiPriority w:val="0"/>
    <w:rPr>
      <w:rFonts w:ascii="黑体" w:eastAsia="黑体" w:cs="黑体"/>
      <w:lang w:val="zh-CN" w:eastAsia="zh-CN" w:bidi="zh-CN"/>
    </w:rPr>
  </w:style>
  <w:style w:type="paragraph" w:customStyle="1" w:styleId="37">
    <w:name w:val="List Paragraph1"/>
    <w:basedOn w:val="1"/>
    <w:qFormat/>
    <w:uiPriority w:val="0"/>
    <w:pPr>
      <w:ind w:firstLine="420" w:firstLineChars="200"/>
    </w:pPr>
    <w:rPr>
      <w:szCs w:val="21"/>
    </w:rPr>
  </w:style>
  <w:style w:type="paragraph" w:customStyle="1" w:styleId="38">
    <w:name w:val="封面"/>
    <w:basedOn w:val="1"/>
    <w:qFormat/>
    <w:uiPriority w:val="0"/>
    <w:pPr>
      <w:tabs>
        <w:tab w:val="left" w:pos="-2362"/>
      </w:tabs>
      <w:adjustRightInd w:val="0"/>
      <w:spacing w:line="360" w:lineRule="atLeast"/>
      <w:ind w:firstLine="200"/>
      <w:jc w:val="right"/>
      <w:textAlignment w:val="baseline"/>
    </w:pPr>
    <w:rPr>
      <w:rFonts w:ascii="Arial" w:hAnsi="Arial"/>
      <w:bCs/>
      <w:kern w:val="0"/>
      <w:szCs w:val="20"/>
    </w:rPr>
  </w:style>
  <w:style w:type="paragraph" w:customStyle="1" w:styleId="39">
    <w:name w:val="文字"/>
    <w:basedOn w:val="17"/>
    <w:qFormat/>
    <w:uiPriority w:val="0"/>
    <w:pPr>
      <w:tabs>
        <w:tab w:val="right" w:leader="dot" w:pos="9061"/>
        <w:tab w:val="clear" w:pos="1680"/>
        <w:tab w:val="clear" w:pos="8364"/>
      </w:tabs>
    </w:p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其他"/>
    <w:basedOn w:val="1"/>
    <w:qFormat/>
    <w:uiPriority w:val="0"/>
    <w:pPr>
      <w:ind w:firstLine="482"/>
    </w:pPr>
    <w:rPr>
      <w:b/>
    </w:rPr>
  </w:style>
  <w:style w:type="character" w:customStyle="1" w:styleId="43">
    <w:name w:val="font41"/>
    <w:basedOn w:val="23"/>
    <w:qFormat/>
    <w:uiPriority w:val="0"/>
    <w:rPr>
      <w:rFonts w:hint="eastAsia" w:ascii="宋体" w:hAnsi="宋体" w:eastAsia="宋体" w:cs="宋体"/>
      <w:color w:val="000000"/>
      <w:sz w:val="18"/>
      <w:szCs w:val="18"/>
      <w:u w:val="none"/>
    </w:rPr>
  </w:style>
  <w:style w:type="character" w:customStyle="1" w:styleId="44">
    <w:name w:val="font21"/>
    <w:basedOn w:val="23"/>
    <w:qFormat/>
    <w:uiPriority w:val="0"/>
    <w:rPr>
      <w:rFonts w:ascii="BatangChe" w:hAnsi="BatangChe" w:eastAsia="BatangChe" w:cs="BatangChe"/>
      <w:color w:val="000000"/>
      <w:sz w:val="18"/>
      <w:szCs w:val="18"/>
      <w:u w:val="none"/>
    </w:rPr>
  </w:style>
  <w:style w:type="character" w:customStyle="1" w:styleId="45">
    <w:name w:val="font51"/>
    <w:basedOn w:val="23"/>
    <w:qFormat/>
    <w:uiPriority w:val="0"/>
    <w:rPr>
      <w:rFonts w:hint="eastAsia" w:ascii="仿宋" w:hAnsi="仿宋" w:eastAsia="仿宋" w:cs="仿宋"/>
      <w:color w:val="000000"/>
      <w:sz w:val="20"/>
      <w:szCs w:val="20"/>
      <w:u w:val="none"/>
    </w:rPr>
  </w:style>
  <w:style w:type="paragraph" w:customStyle="1" w:styleId="46">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b/>
      <w:bCs/>
      <w:kern w:val="0"/>
      <w:szCs w:val="21"/>
    </w:rPr>
  </w:style>
  <w:style w:type="paragraph" w:customStyle="1" w:styleId="47">
    <w:name w:val="xl2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4953</Words>
  <Characters>5251</Characters>
  <Lines>6</Lines>
  <Paragraphs>1</Paragraphs>
  <TotalTime>58</TotalTime>
  <ScaleCrop>false</ScaleCrop>
  <LinksUpToDate>false</LinksUpToDate>
  <CharactersWithSpaces>6930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2021-03-08T06:15:00Z</dcterms:created>
  <dc:creator>萧冰</dc:creator>
  <cp:lastModifiedBy>颜语</cp:lastModifiedBy>
  <cp:lastPrinted>2022-04-06T00:55:00Z</cp:lastPrinted>
  <dcterms:modified xsi:type="dcterms:W3CDTF">2023-11-23T07:24:30Z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C500A5A5B0D24CFDA590E906ABD3140C_13</vt:lpwstr>
  </property>
</Properties>
</file>