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404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珠海汇华置地投资有限公司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PA-HHHG-ZC-202404-020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万华公司家具采购安装服务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暂定总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拾  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>本项目总价为暂定总价，实际工程量以项目验收实际复核且经甲方确认后的数量为准，合同价（结算价）=实际复核且甲方确认的数量×对应货物的成交单价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备注：请填写附件《万华公司家具采购安装服务报价清单》作为本报价单附件。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8AAADA-59A6-43BF-9EE1-0081BFA6E4B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36256DF-B8B1-4AC8-9A6F-0983CDF6D3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CA725C4-FB46-45DE-9DA9-3D1525BDCA57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324878FB-CCCE-410E-9300-5AC60B1DF65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396369F"/>
    <w:rsid w:val="050737D3"/>
    <w:rsid w:val="05775461"/>
    <w:rsid w:val="0C107ED2"/>
    <w:rsid w:val="109A7745"/>
    <w:rsid w:val="14003963"/>
    <w:rsid w:val="1459397D"/>
    <w:rsid w:val="14EF020E"/>
    <w:rsid w:val="169538A5"/>
    <w:rsid w:val="174A5CCD"/>
    <w:rsid w:val="190D7821"/>
    <w:rsid w:val="19A71C28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43C1E02"/>
    <w:rsid w:val="486929FE"/>
    <w:rsid w:val="4A45579C"/>
    <w:rsid w:val="4D792BA6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411</Characters>
  <Lines>0</Lines>
  <Paragraphs>0</Paragraphs>
  <TotalTime>7</TotalTime>
  <ScaleCrop>false</ScaleCrop>
  <LinksUpToDate>false</LinksUpToDate>
  <CharactersWithSpaces>493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2024-04-30T09:35:53Z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4C1E05F5D7304A37A163611DBC49B71D_13</vt:lpwstr>
  </property>
</Properties>
</file>